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3000000">
      <w:pPr>
        <w:pStyle w:val="Style_2"/>
        <w:widowControl w:val="0"/>
        <w:ind/>
        <w:jc w:val="center"/>
        <w:rPr>
          <w:b w:val="1"/>
          <w:sz w:val="26"/>
        </w:rPr>
      </w:pPr>
      <w:r>
        <w:rPr>
          <w:b w:val="1"/>
          <w:sz w:val="26"/>
        </w:rPr>
        <w:t>ПРОЕКТ</w:t>
      </w:r>
    </w:p>
    <w:p w14:paraId="04000000">
      <w:pPr>
        <w:pStyle w:val="Style_2"/>
        <w:widowControl w:val="0"/>
        <w:ind/>
        <w:jc w:val="center"/>
        <w:rPr>
          <w:rFonts w:ascii="Times New Roman" w:hAnsi="Times New Roman"/>
          <w:b w:val="1"/>
          <w:sz w:val="26"/>
        </w:rPr>
      </w:pPr>
      <w:r>
        <w:rPr>
          <w:b w:val="1"/>
          <w:sz w:val="26"/>
        </w:rPr>
        <w:t>Договор купли-продажи</w:t>
      </w:r>
    </w:p>
    <w:p w14:paraId="05000000">
      <w:pPr>
        <w:pStyle w:val="Style_2"/>
        <w:widowControl w:val="0"/>
        <w:ind w:firstLine="0" w:left="0" w:right="-48"/>
        <w:jc w:val="center"/>
        <w:rPr>
          <w:rFonts w:ascii="Times New Roman" w:hAnsi="Times New Roman"/>
          <w:b w:val="1"/>
          <w:sz w:val="26"/>
        </w:rPr>
      </w:pPr>
      <w:r>
        <w:rPr>
          <w:b w:val="1"/>
          <w:sz w:val="26"/>
        </w:rPr>
        <w:t>гаражного бокса</w:t>
      </w:r>
      <w:r>
        <w:rPr>
          <w:b w:val="1"/>
          <w:sz w:val="26"/>
        </w:rPr>
        <w:t xml:space="preserve"> </w:t>
      </w:r>
      <w:r>
        <w:rPr>
          <w:b w:val="1"/>
          <w:sz w:val="26"/>
        </w:rPr>
        <w:t xml:space="preserve">площадью 32,9 кв.м. </w:t>
      </w:r>
      <w:r>
        <w:rPr>
          <w:b w:val="1"/>
          <w:sz w:val="26"/>
        </w:rPr>
        <w:t xml:space="preserve">с кадастровым номером 04:11:010145:125 (РНФИ П13220006159) по адресу: Республика Алтай, г Горно-Алтайск, гаражный кооператив "Заречный-2", гараж </w:t>
      </w:r>
      <w:r>
        <w:rPr>
          <w:b w:val="1"/>
          <w:sz w:val="26"/>
        </w:rPr>
        <w:t>№</w:t>
      </w:r>
      <w:r>
        <w:rPr>
          <w:b w:val="1"/>
          <w:sz w:val="26"/>
        </w:rPr>
        <w:t>1 на аукционе</w:t>
      </w:r>
    </w:p>
    <w:p w14:paraId="06000000">
      <w:pPr>
        <w:pStyle w:val="Style_2"/>
        <w:widowControl w:val="0"/>
        <w:ind w:firstLine="0" w:left="0" w:right="-48"/>
        <w:jc w:val="right"/>
        <w:rPr>
          <w:rFonts w:ascii="Times New Roman" w:hAnsi="Times New Roman"/>
          <w:sz w:val="26"/>
        </w:rPr>
      </w:pPr>
      <w:r>
        <w:rPr>
          <w:sz w:val="26"/>
        </w:rPr>
        <w:t xml:space="preserve">                                                                                  </w:t>
      </w:r>
      <w:r>
        <w:rPr>
          <w:sz w:val="26"/>
        </w:rPr>
        <w:t>«___» _________ _____г.</w:t>
      </w:r>
    </w:p>
    <w:p w14:paraId="07000000">
      <w:pPr>
        <w:pStyle w:val="Style_2"/>
        <w:widowControl w:val="0"/>
        <w:ind/>
        <w:jc w:val="both"/>
        <w:rPr>
          <w:rFonts w:ascii="Times New Roman" w:hAnsi="Times New Roman"/>
          <w:sz w:val="26"/>
        </w:rPr>
      </w:pPr>
    </w:p>
    <w:p w14:paraId="08000000">
      <w:pPr>
        <w:pStyle w:val="Style_2"/>
        <w:widowControl w:val="0"/>
        <w:ind w:firstLine="720" w:left="0" w:right="0"/>
        <w:jc w:val="both"/>
        <w:rPr>
          <w:rFonts w:ascii="Times New Roman" w:hAnsi="Times New Roman"/>
          <w:sz w:val="26"/>
        </w:rPr>
      </w:pPr>
      <w:r>
        <w:rPr>
          <w:sz w:val="26"/>
        </w:rPr>
        <w:t xml:space="preserve">Межрегиональное территориальное управление Федерального агентства по управлению государственным имуществом в Алтайском крае и Республике Алтай, именуемое в дальнейшем </w:t>
      </w:r>
      <w:r>
        <w:rPr>
          <w:b w:val="1"/>
          <w:sz w:val="26"/>
        </w:rPr>
        <w:t>«Продавец»</w:t>
      </w:r>
      <w:r>
        <w:rPr>
          <w:sz w:val="26"/>
        </w:rPr>
        <w:t>, в лице____________, действующего (-ей) на основании 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п</w:t>
      </w:r>
      <w:bookmarkStart w:id="1" w:name="_GoBack"/>
      <w:bookmarkEnd w:id="1"/>
      <w:r>
        <w:rPr>
          <w:sz w:val="26"/>
        </w:rPr>
        <w:t xml:space="preserve">риказом Федерального агентства по управлению государственным имуществом от 23.06.2023 № 131, с одной стороны, и _____________________, именуемое (-ая, -ый) в дальнейшем </w:t>
      </w:r>
      <w:r>
        <w:rPr>
          <w:b w:val="1"/>
          <w:sz w:val="26"/>
        </w:rPr>
        <w:t>«Покупатель»</w:t>
      </w:r>
      <w:r>
        <w:rPr>
          <w:sz w:val="26"/>
        </w:rPr>
        <w:t xml:space="preserve">, в лице _________________________________, действующего (-ей) на основании ____________, с другой стороны, в соответствии с Гражданским кодексом Российской Федерации, Федеральным законом «О приватизации государственного и муниципального имущества» от 21.12.2001 № 178-ФЗ, </w:t>
      </w:r>
      <w:r>
        <w:rPr>
          <w:sz w:val="26"/>
        </w:rPr>
        <w:t>постановлением Правительства Российской Федерации от 27.08.2012 № 860 «Об организации и проведении продажи государственного или муниципального имущества»,</w:t>
      </w:r>
      <w:r>
        <w:rPr>
          <w:sz w:val="26"/>
        </w:rPr>
        <w:t xml:space="preserve"> </w:t>
      </w:r>
      <w:r>
        <w:rPr>
          <w:rFonts w:ascii="Times New Roman" w:hAnsi="Times New Roman"/>
          <w:sz w:val="26"/>
        </w:rPr>
        <w:t>распоряжением Росимущества</w:t>
      </w:r>
      <w:r>
        <w:rPr>
          <w:rFonts w:ascii="Times New Roman" w:hAnsi="Times New Roman"/>
          <w:sz w:val="26"/>
        </w:rPr>
        <w:t xml:space="preserve"> от</w:t>
      </w:r>
      <w:r>
        <w:rPr>
          <w:rFonts w:ascii="Times New Roman" w:hAnsi="Times New Roman"/>
          <w:sz w:val="26"/>
        </w:rPr>
        <w:t xml:space="preserve"> 02.09.2025 №1767-р</w:t>
      </w:r>
      <w:r>
        <w:rPr>
          <w:rFonts w:ascii="Times New Roman" w:hAnsi="Times New Roman"/>
          <w:sz w:val="26"/>
        </w:rPr>
        <w:t xml:space="preserve"> «Об утверждении перечня федерального имущества, приватизация ко</w:t>
      </w:r>
      <w:r>
        <w:rPr>
          <w:rFonts w:ascii="Times New Roman" w:hAnsi="Times New Roman"/>
          <w:spacing w:val="-2"/>
          <w:sz w:val="26"/>
        </w:rPr>
        <w:t xml:space="preserve">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 в редакции распоряжения Росимущества от 05.06.2026 №1399-р «О внесении изменений в приложение к распоряжению Росимущества </w:t>
      </w:r>
      <w:r>
        <w:rPr>
          <w:rFonts w:ascii="Times New Roman" w:hAnsi="Times New Roman"/>
          <w:sz w:val="26"/>
        </w:rPr>
        <w:t>от</w:t>
      </w:r>
      <w:r>
        <w:rPr>
          <w:rFonts w:ascii="Times New Roman" w:hAnsi="Times New Roman"/>
          <w:sz w:val="26"/>
        </w:rPr>
        <w:t xml:space="preserve"> 02.09.2025 №1767-р</w:t>
      </w:r>
      <w:r>
        <w:rPr>
          <w:rFonts w:ascii="Times New Roman" w:hAnsi="Times New Roman"/>
          <w:sz w:val="26"/>
        </w:rPr>
        <w:t xml:space="preserve"> «Об утверждении перечня федерального имущества, приватизация ко</w:t>
      </w:r>
      <w:r>
        <w:rPr>
          <w:rFonts w:ascii="Times New Roman" w:hAnsi="Times New Roman"/>
          <w:spacing w:val="-2"/>
          <w:sz w:val="26"/>
        </w:rPr>
        <w:t>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sz w:val="26"/>
        </w:rPr>
        <w:t>, распоряжением Межрегионального территориального управления Федерального агентства по управлению государственным имуществом в Алтайском крае и Республике Алтай о</w:t>
      </w:r>
      <w:r>
        <w:rPr>
          <w:sz w:val="26"/>
        </w:rPr>
        <w:t xml:space="preserve">т </w:t>
      </w:r>
      <w:r>
        <w:rPr>
          <w:sz w:val="26"/>
        </w:rPr>
        <w:t>10.06.2026 №296,</w:t>
      </w:r>
      <w:r>
        <w:rPr>
          <w:sz w:val="26"/>
        </w:rPr>
        <w:t xml:space="preserve"> п</w:t>
      </w:r>
      <w:r>
        <w:rPr>
          <w:sz w:val="26"/>
        </w:rPr>
        <w:t>оложениями информационного сообщения о продаж</w:t>
      </w:r>
      <w:r>
        <w:rPr>
          <w:b w:val="0"/>
          <w:sz w:val="26"/>
        </w:rPr>
        <w:t xml:space="preserve">е </w:t>
      </w:r>
      <w:r>
        <w:rPr>
          <w:b w:val="0"/>
          <w:sz w:val="26"/>
        </w:rPr>
        <w:t>гаражного бокса</w:t>
      </w:r>
      <w:r>
        <w:rPr>
          <w:b w:val="0"/>
          <w:sz w:val="26"/>
        </w:rPr>
        <w:t xml:space="preserve"> </w:t>
      </w:r>
      <w:r>
        <w:rPr>
          <w:b w:val="0"/>
          <w:sz w:val="26"/>
        </w:rPr>
        <w:t xml:space="preserve">площадью 32,9 кв.м. </w:t>
      </w:r>
      <w:r>
        <w:rPr>
          <w:b w:val="0"/>
          <w:sz w:val="26"/>
        </w:rPr>
        <w:t xml:space="preserve">с кадастровым номером 04:11:010145:125 (РНФИ П13220006159) по адресу: Республика Алтай, г Горно-Алтайск, гаражный кооператив "Заречный-2", гараж </w:t>
      </w:r>
      <w:r>
        <w:rPr>
          <w:b w:val="0"/>
          <w:sz w:val="26"/>
        </w:rPr>
        <w:t>№</w:t>
      </w:r>
      <w:r>
        <w:rPr>
          <w:b w:val="0"/>
          <w:sz w:val="26"/>
        </w:rPr>
        <w:t>1</w:t>
      </w:r>
      <w:r>
        <w:rPr>
          <w:b w:val="0"/>
          <w:sz w:val="26"/>
        </w:rPr>
        <w:t>,</w:t>
      </w:r>
      <w:r>
        <w:rPr>
          <w:b w:val="0"/>
          <w:i w:val="1"/>
          <w:sz w:val="26"/>
        </w:rPr>
        <w:t xml:space="preserve"> </w:t>
      </w:r>
      <w:r>
        <w:rPr>
          <w:b w:val="0"/>
          <w:sz w:val="26"/>
        </w:rPr>
        <w:t>разме</w:t>
      </w:r>
      <w:r>
        <w:rPr>
          <w:sz w:val="26"/>
        </w:rPr>
        <w:t xml:space="preserve">щенного  на сайте Оператора электронной площадки торгов  </w:t>
      </w:r>
      <w:r>
        <w:rPr>
          <w:sz w:val="26"/>
        </w:rPr>
        <w:fldChar w:fldCharType="begin"/>
      </w:r>
      <w:r>
        <w:rPr>
          <w:sz w:val="26"/>
        </w:rPr>
        <w:instrText>HYPERLINK "https://www.sberbank-ast.ru/"</w:instrText>
      </w:r>
      <w:r>
        <w:rPr>
          <w:sz w:val="26"/>
        </w:rPr>
        <w:fldChar w:fldCharType="separate"/>
      </w:r>
      <w:r>
        <w:rPr>
          <w:sz w:val="26"/>
        </w:rPr>
        <w:t>https://www.sberbank-ast.ru/</w:t>
      </w:r>
      <w:r>
        <w:rPr>
          <w:sz w:val="26"/>
        </w:rPr>
        <w:fldChar w:fldCharType="end"/>
      </w:r>
      <w:r>
        <w:rPr>
          <w:sz w:val="26"/>
        </w:rPr>
        <w:t xml:space="preserve">, на сайте Продавца в сети  «Интернет» </w:t>
      </w:r>
      <w:r>
        <w:rPr>
          <w:sz w:val="26"/>
        </w:rPr>
        <w:fldChar w:fldCharType="begin"/>
      </w:r>
      <w:r>
        <w:rPr>
          <w:sz w:val="26"/>
        </w:rPr>
        <w:instrText>HYPERLINK "https://tu22.rosim.gov.ru/"</w:instrText>
      </w:r>
      <w:r>
        <w:rPr>
          <w:sz w:val="26"/>
        </w:rPr>
        <w:fldChar w:fldCharType="separate"/>
      </w:r>
      <w:r>
        <w:rPr>
          <w:sz w:val="26"/>
        </w:rPr>
        <w:t>https://tu22.rosim.gov.ru/</w:t>
      </w:r>
      <w:r>
        <w:rPr>
          <w:sz w:val="26"/>
        </w:rPr>
        <w:fldChar w:fldCharType="end"/>
      </w:r>
      <w:r>
        <w:rPr>
          <w:sz w:val="26"/>
        </w:rPr>
        <w:t xml:space="preserve"> </w:t>
      </w:r>
      <w:r>
        <w:rPr>
          <w:sz w:val="26"/>
        </w:rPr>
        <w:t xml:space="preserve"> и официальном сайте Российской Федерации в сети «Интернет» </w:t>
      </w:r>
      <w:r>
        <w:rPr>
          <w:sz w:val="26"/>
        </w:rPr>
        <w:fldChar w:fldCharType="begin"/>
      </w:r>
      <w:r>
        <w:rPr>
          <w:sz w:val="26"/>
        </w:rPr>
        <w:instrText>HYPERLINK "https://torgi.gov.ru/"</w:instrText>
      </w:r>
      <w:r>
        <w:rPr>
          <w:sz w:val="26"/>
        </w:rPr>
        <w:fldChar w:fldCharType="separate"/>
      </w:r>
      <w:r>
        <w:rPr>
          <w:sz w:val="26"/>
        </w:rPr>
        <w:t>https://torgi.gov.ru</w:t>
      </w:r>
      <w:r>
        <w:rPr>
          <w:sz w:val="26"/>
        </w:rPr>
        <w:fldChar w:fldCharType="end"/>
      </w:r>
      <w:r>
        <w:rPr>
          <w:sz w:val="26"/>
        </w:rPr>
        <w:t xml:space="preserve">  (далее – «Информационное сообщение») и на основании Протокола от «___»___________г. №___ об итогах аукциона по продаже </w:t>
      </w:r>
      <w:r>
        <w:rPr>
          <w:b w:val="0"/>
          <w:sz w:val="26"/>
        </w:rPr>
        <w:t>гаражного бокса площадью 32,9 кв.м. с кадастровым номером 04:11:010145:125 (РНФИ П13220006159) по адресу: Республика Алтай, г Горно-Алтайск, гаражный кооператив "Заречный-2", гараж №1</w:t>
      </w:r>
      <w:r>
        <w:rPr>
          <w:b w:val="0"/>
          <w:sz w:val="26"/>
        </w:rPr>
        <w:t xml:space="preserve"> (да</w:t>
      </w:r>
      <w:r>
        <w:rPr>
          <w:sz w:val="26"/>
        </w:rPr>
        <w:t>лее – «Аукцион») заключили настоящий Договор (далее – «настоящий Договор», «Договор») о нижеследующем.</w:t>
      </w:r>
    </w:p>
    <w:p w14:paraId="09000000">
      <w:pPr>
        <w:pStyle w:val="Style_2"/>
        <w:widowControl w:val="0"/>
        <w:ind/>
        <w:jc w:val="center"/>
        <w:rPr>
          <w:rFonts w:ascii="Times New Roman" w:hAnsi="Times New Roman"/>
          <w:sz w:val="26"/>
        </w:rPr>
      </w:pPr>
    </w:p>
    <w:p w14:paraId="0A000000">
      <w:pPr>
        <w:pStyle w:val="Style_2"/>
        <w:widowControl w:val="0"/>
        <w:ind/>
        <w:jc w:val="center"/>
        <w:rPr>
          <w:rFonts w:ascii="Times New Roman" w:hAnsi="Times New Roman"/>
          <w:sz w:val="26"/>
        </w:rPr>
      </w:pPr>
    </w:p>
    <w:p w14:paraId="0B000000">
      <w:pPr>
        <w:pStyle w:val="Style_2"/>
        <w:widowControl w:val="0"/>
        <w:ind/>
        <w:jc w:val="center"/>
        <w:rPr>
          <w:rFonts w:ascii="Times New Roman" w:hAnsi="Times New Roman"/>
          <w:sz w:val="26"/>
        </w:rPr>
      </w:pPr>
    </w:p>
    <w:p w14:paraId="0C000000">
      <w:pPr>
        <w:pStyle w:val="Style_2"/>
        <w:widowControl w:val="0"/>
        <w:ind/>
        <w:jc w:val="center"/>
        <w:rPr>
          <w:rFonts w:ascii="Times New Roman" w:hAnsi="Times New Roman"/>
          <w:b w:val="1"/>
          <w:sz w:val="26"/>
        </w:rPr>
      </w:pPr>
      <w:r>
        <w:rPr>
          <w:b w:val="1"/>
          <w:sz w:val="26"/>
        </w:rPr>
        <w:t>1. Предмет Договора</w:t>
      </w:r>
    </w:p>
    <w:p w14:paraId="0D000000">
      <w:pPr>
        <w:pStyle w:val="Style_2"/>
        <w:widowControl w:val="0"/>
        <w:ind/>
        <w:jc w:val="center"/>
        <w:rPr>
          <w:rFonts w:ascii="Times New Roman" w:hAnsi="Times New Roman"/>
          <w:b w:val="1"/>
          <w:sz w:val="26"/>
        </w:rPr>
      </w:pPr>
    </w:p>
    <w:p w14:paraId="0E000000">
      <w:pPr>
        <w:pStyle w:val="Style_2"/>
        <w:widowControl w:val="0"/>
        <w:ind w:firstLine="720" w:left="0" w:right="0"/>
        <w:jc w:val="both"/>
        <w:rPr>
          <w:rFonts w:ascii="Times New Roman" w:hAnsi="Times New Roman"/>
          <w:sz w:val="26"/>
        </w:rPr>
      </w:pPr>
      <w:r>
        <w:rPr>
          <w:sz w:val="26"/>
        </w:rPr>
        <w:t xml:space="preserve">1.1. Предметом купли-продажи по настоящему договору является </w:t>
      </w:r>
      <w:r>
        <w:rPr>
          <w:b w:val="0"/>
          <w:sz w:val="26"/>
        </w:rPr>
        <w:t>гаражный бокс</w:t>
      </w:r>
      <w:r>
        <w:rPr>
          <w:b w:val="0"/>
          <w:sz w:val="26"/>
        </w:rPr>
        <w:t xml:space="preserve"> </w:t>
      </w:r>
      <w:r>
        <w:rPr>
          <w:b w:val="0"/>
          <w:sz w:val="26"/>
        </w:rPr>
        <w:t xml:space="preserve">площадью 32,9 кв.м. </w:t>
      </w:r>
      <w:r>
        <w:rPr>
          <w:b w:val="0"/>
          <w:sz w:val="26"/>
        </w:rPr>
        <w:t xml:space="preserve">с кадастровым номером 04:11:010145:125 (РНФИ П13220006159) по адресу: Республика Алтай, г Горно-Алтайск, гаражный кооператив "Заречный-2", гараж </w:t>
      </w:r>
      <w:r>
        <w:rPr>
          <w:b w:val="0"/>
          <w:sz w:val="26"/>
        </w:rPr>
        <w:t>№</w:t>
      </w:r>
      <w:r>
        <w:rPr>
          <w:b w:val="0"/>
          <w:sz w:val="26"/>
        </w:rPr>
        <w:t>1</w:t>
      </w:r>
      <w:r>
        <w:rPr>
          <w:sz w:val="26"/>
        </w:rPr>
        <w:t>, принадлежащ</w:t>
      </w:r>
      <w:r>
        <w:rPr>
          <w:sz w:val="26"/>
        </w:rPr>
        <w:t>ий</w:t>
      </w:r>
      <w:r>
        <w:rPr>
          <w:sz w:val="26"/>
        </w:rPr>
        <w:t xml:space="preserve"> на праве собственности Российской Федерации.</w:t>
      </w:r>
    </w:p>
    <w:p w14:paraId="0F000000">
      <w:pPr>
        <w:pStyle w:val="Style_2"/>
        <w:widowControl w:val="0"/>
        <w:ind w:firstLine="720" w:left="0" w:right="0"/>
        <w:jc w:val="both"/>
        <w:rPr>
          <w:rFonts w:ascii="Times New Roman" w:hAnsi="Times New Roman"/>
          <w:sz w:val="26"/>
        </w:rPr>
      </w:pPr>
      <w:r>
        <w:rPr>
          <w:sz w:val="26"/>
        </w:rPr>
        <w:t xml:space="preserve">1.2. Сведения о  </w:t>
      </w:r>
      <w:r>
        <w:rPr>
          <w:b w:val="0"/>
          <w:sz w:val="26"/>
        </w:rPr>
        <w:t>гаражном боксе</w:t>
      </w:r>
      <w:r>
        <w:rPr>
          <w:b w:val="0"/>
          <w:sz w:val="26"/>
        </w:rPr>
        <w:t xml:space="preserve"> </w:t>
      </w:r>
      <w:r>
        <w:rPr>
          <w:b w:val="0"/>
          <w:sz w:val="26"/>
        </w:rPr>
        <w:t xml:space="preserve">площадью 32,9 кв.м. </w:t>
      </w:r>
      <w:r>
        <w:rPr>
          <w:b w:val="0"/>
          <w:sz w:val="26"/>
        </w:rPr>
        <w:t xml:space="preserve">с кадастровым номером 04:11:010145:125 (РНФИ П13220006159) по адресу: Республика Алтай, г Горно-Алтайск, гаражный кооператив "Заречный-2", гараж </w:t>
      </w:r>
      <w:r>
        <w:rPr>
          <w:b w:val="0"/>
          <w:sz w:val="26"/>
        </w:rPr>
        <w:t>№</w:t>
      </w:r>
      <w:r>
        <w:rPr>
          <w:b w:val="0"/>
          <w:sz w:val="26"/>
        </w:rPr>
        <w:t>1</w:t>
      </w:r>
      <w:r>
        <w:rPr>
          <w:b w:val="0"/>
          <w:sz w:val="26"/>
        </w:rPr>
        <w:t xml:space="preserve"> (далее –</w:t>
      </w:r>
      <w:r>
        <w:rPr>
          <w:sz w:val="26"/>
        </w:rPr>
        <w:t xml:space="preserve"> Имущество):</w:t>
      </w:r>
    </w:p>
    <w:p w14:paraId="10000000">
      <w:pPr>
        <w:pStyle w:val="Style_2"/>
        <w:widowControl w:val="0"/>
        <w:ind w:firstLine="720" w:left="0" w:right="0"/>
        <w:jc w:val="both"/>
        <w:rPr>
          <w:rFonts w:ascii="Times New Roman" w:hAnsi="Times New Roman"/>
          <w:sz w:val="26"/>
        </w:rPr>
      </w:pPr>
      <w:r>
        <w:rPr>
          <w:sz w:val="26"/>
        </w:rPr>
        <w:t xml:space="preserve">1.2.1 Право собственности: </w:t>
      </w:r>
      <w:r>
        <w:rPr>
          <w:sz w:val="26"/>
        </w:rPr>
        <w:t xml:space="preserve">№04:11:010145:125-04/017/2025-12 </w:t>
      </w:r>
      <w:r>
        <w:rPr>
          <w:sz w:val="26"/>
        </w:rPr>
        <w:t xml:space="preserve">от 17.01.2025. </w:t>
      </w:r>
    </w:p>
    <w:p w14:paraId="11000000">
      <w:pPr>
        <w:pStyle w:val="Style_2"/>
        <w:widowControl w:val="0"/>
        <w:ind w:firstLine="720" w:left="0" w:right="0"/>
        <w:jc w:val="both"/>
        <w:rPr>
          <w:rFonts w:ascii="Times New Roman" w:hAnsi="Times New Roman"/>
          <w:sz w:val="26"/>
        </w:rPr>
      </w:pPr>
      <w:r>
        <w:rPr>
          <w:sz w:val="26"/>
        </w:rPr>
        <w:t>1.2.2.</w:t>
      </w:r>
      <w:r>
        <w:rPr>
          <w:sz w:val="26"/>
        </w:rPr>
        <w:t xml:space="preserve"> РНФИ: П13220006159</w:t>
      </w:r>
      <w:r>
        <w:rPr>
          <w:b w:val="0"/>
          <w:sz w:val="26"/>
        </w:rPr>
        <w:t xml:space="preserve">. </w:t>
      </w:r>
    </w:p>
    <w:p w14:paraId="12000000">
      <w:pPr>
        <w:pStyle w:val="Style_2"/>
        <w:widowControl w:val="0"/>
        <w:ind w:firstLine="720" w:left="0" w:right="0"/>
        <w:jc w:val="both"/>
        <w:rPr>
          <w:rFonts w:ascii="Times New Roman" w:hAnsi="Times New Roman"/>
          <w:sz w:val="26"/>
        </w:rPr>
      </w:pPr>
      <w:r>
        <w:rPr>
          <w:sz w:val="26"/>
        </w:rPr>
        <w:t xml:space="preserve">Кадастровый номер </w:t>
      </w:r>
      <w:r>
        <w:rPr>
          <w:b w:val="0"/>
          <w:sz w:val="26"/>
        </w:rPr>
        <w:t>04:11:010145:125</w:t>
      </w:r>
      <w:r>
        <w:rPr>
          <w:sz w:val="26"/>
        </w:rPr>
        <w:t>.</w:t>
      </w:r>
    </w:p>
    <w:p w14:paraId="13000000">
      <w:pPr>
        <w:pStyle w:val="Style_2"/>
        <w:widowControl w:val="0"/>
        <w:ind w:firstLine="720" w:left="0" w:right="0"/>
        <w:jc w:val="both"/>
        <w:rPr>
          <w:rFonts w:ascii="Times New Roman" w:hAnsi="Times New Roman"/>
          <w:sz w:val="26"/>
        </w:rPr>
      </w:pPr>
      <w:r>
        <w:rPr>
          <w:sz w:val="26"/>
        </w:rPr>
        <w:t xml:space="preserve">Площадь: </w:t>
      </w:r>
      <w:r>
        <w:rPr>
          <w:b w:val="0"/>
          <w:sz w:val="26"/>
        </w:rPr>
        <w:t>32,9</w:t>
      </w:r>
      <w:r>
        <w:rPr>
          <w:sz w:val="26"/>
        </w:rPr>
        <w:t xml:space="preserve"> кв.м.</w:t>
      </w:r>
    </w:p>
    <w:p w14:paraId="14000000">
      <w:pPr>
        <w:pStyle w:val="Style_2"/>
        <w:widowControl w:val="0"/>
        <w:ind w:firstLine="720" w:left="0" w:right="0"/>
        <w:jc w:val="both"/>
        <w:rPr>
          <w:rFonts w:ascii="Times New Roman" w:hAnsi="Times New Roman"/>
          <w:sz w:val="26"/>
        </w:rPr>
      </w:pPr>
      <w:r>
        <w:rPr>
          <w:sz w:val="26"/>
        </w:rPr>
        <w:t>1.2.3. Наличие обременений: отсутствуют.</w:t>
      </w:r>
    </w:p>
    <w:p w14:paraId="15000000">
      <w:pPr>
        <w:pStyle w:val="Style_2"/>
        <w:widowControl w:val="0"/>
        <w:ind w:firstLine="720" w:left="0" w:right="0"/>
        <w:jc w:val="both"/>
        <w:rPr>
          <w:rFonts w:ascii="Times New Roman" w:hAnsi="Times New Roman"/>
          <w:sz w:val="26"/>
        </w:rPr>
      </w:pPr>
      <w:r>
        <w:rPr>
          <w:sz w:val="26"/>
        </w:rPr>
        <w:t xml:space="preserve"> </w:t>
      </w:r>
    </w:p>
    <w:p w14:paraId="16000000">
      <w:pPr>
        <w:pStyle w:val="Style_2"/>
        <w:widowControl w:val="0"/>
        <w:ind/>
        <w:jc w:val="center"/>
        <w:rPr>
          <w:rFonts w:ascii="Times New Roman" w:hAnsi="Times New Roman"/>
          <w:b w:val="1"/>
          <w:sz w:val="26"/>
        </w:rPr>
      </w:pPr>
      <w:r>
        <w:rPr>
          <w:b w:val="1"/>
          <w:sz w:val="26"/>
        </w:rPr>
        <w:t>2. Обязательства Сторон</w:t>
      </w:r>
    </w:p>
    <w:p w14:paraId="17000000">
      <w:pPr>
        <w:pStyle w:val="Style_2"/>
        <w:widowControl w:val="0"/>
        <w:ind/>
        <w:jc w:val="center"/>
        <w:rPr>
          <w:rFonts w:ascii="Times New Roman" w:hAnsi="Times New Roman"/>
          <w:b w:val="1"/>
          <w:sz w:val="26"/>
        </w:rPr>
      </w:pPr>
    </w:p>
    <w:p w14:paraId="18000000">
      <w:pPr>
        <w:pStyle w:val="Style_2"/>
        <w:widowControl w:val="1"/>
        <w:ind w:firstLine="720" w:left="0" w:right="0"/>
        <w:jc w:val="both"/>
        <w:rPr>
          <w:sz w:val="26"/>
        </w:rPr>
      </w:pPr>
      <w:r>
        <w:rPr>
          <w:sz w:val="26"/>
        </w:rPr>
        <w:t>2.1. Стороны по настоящему Договору обязуются:</w:t>
      </w:r>
    </w:p>
    <w:p w14:paraId="19000000">
      <w:pPr>
        <w:pStyle w:val="Style_2"/>
        <w:widowControl w:val="1"/>
        <w:ind w:firstLine="720" w:left="0" w:right="0"/>
        <w:jc w:val="both"/>
        <w:rPr>
          <w:sz w:val="26"/>
        </w:rPr>
      </w:pPr>
      <w:r>
        <w:rPr>
          <w:sz w:val="26"/>
        </w:rPr>
        <w:t>2.1.1. Покупатель:</w:t>
      </w:r>
    </w:p>
    <w:p w14:paraId="1A000000">
      <w:pPr>
        <w:pStyle w:val="Style_2"/>
        <w:widowControl w:val="1"/>
        <w:ind w:firstLine="720" w:left="0" w:right="0"/>
        <w:jc w:val="both"/>
        <w:rPr>
          <w:sz w:val="26"/>
        </w:rPr>
      </w:pPr>
      <w:r>
        <w:rPr>
          <w:sz w:val="26"/>
        </w:rPr>
        <w:t xml:space="preserve">- произвести оплату Имущества в сумме и на условиях, установленных в статье 3 </w:t>
      </w:r>
      <w:r>
        <w:rPr>
          <w:sz w:val="26"/>
        </w:rPr>
        <w:br/>
      </w:r>
      <w:r>
        <w:rPr>
          <w:sz w:val="26"/>
        </w:rPr>
        <w:t>настоящего Договора;</w:t>
      </w:r>
    </w:p>
    <w:p w14:paraId="1B000000">
      <w:pPr>
        <w:pStyle w:val="Style_2"/>
        <w:widowControl w:val="1"/>
        <w:ind w:firstLine="720" w:left="0" w:right="0"/>
        <w:jc w:val="both"/>
        <w:rPr>
          <w:sz w:val="26"/>
        </w:rPr>
      </w:pPr>
      <w:r>
        <w:rPr>
          <w:sz w:val="26"/>
        </w:rPr>
        <w:t>- принять Имущество в собственность.</w:t>
      </w:r>
    </w:p>
    <w:p w14:paraId="1C000000">
      <w:pPr>
        <w:pStyle w:val="Style_2"/>
        <w:widowControl w:val="1"/>
        <w:ind w:firstLine="720" w:left="0" w:right="0"/>
        <w:jc w:val="both"/>
        <w:rPr>
          <w:sz w:val="26"/>
        </w:rPr>
      </w:pPr>
      <w:r>
        <w:rPr>
          <w:sz w:val="26"/>
        </w:rPr>
        <w:t>2.1.2. Продавец:</w:t>
      </w:r>
    </w:p>
    <w:p w14:paraId="1D000000">
      <w:pPr>
        <w:pStyle w:val="Style_2"/>
        <w:widowControl w:val="1"/>
        <w:ind w:firstLine="720" w:left="0" w:right="0"/>
        <w:jc w:val="both"/>
        <w:rPr>
          <w:sz w:val="26"/>
        </w:rPr>
      </w:pPr>
      <w:r>
        <w:rPr>
          <w:sz w:val="26"/>
        </w:rPr>
        <w:t xml:space="preserve">- осуществить действия по передаче Имущества в собственность Покупателя в </w:t>
      </w:r>
      <w:r>
        <w:rPr>
          <w:sz w:val="26"/>
        </w:rPr>
        <w:br/>
      </w:r>
      <w:r>
        <w:rPr>
          <w:sz w:val="26"/>
        </w:rPr>
        <w:t xml:space="preserve">порядке, установленном статьей 4 настоящего Договора, после его полной оплаты со </w:t>
      </w:r>
      <w:r>
        <w:rPr>
          <w:sz w:val="26"/>
        </w:rPr>
        <w:br/>
      </w:r>
      <w:r>
        <w:rPr>
          <w:sz w:val="26"/>
        </w:rPr>
        <w:t>стороны Покупателя.</w:t>
      </w:r>
    </w:p>
    <w:p w14:paraId="1E000000">
      <w:pPr>
        <w:pStyle w:val="Style_2"/>
        <w:widowControl w:val="0"/>
        <w:ind w:firstLine="709" w:left="0" w:right="0"/>
        <w:jc w:val="both"/>
        <w:rPr>
          <w:rFonts w:ascii="Times New Roman" w:hAnsi="Times New Roman"/>
          <w:b w:val="1"/>
          <w:sz w:val="26"/>
        </w:rPr>
      </w:pPr>
    </w:p>
    <w:p w14:paraId="1F000000">
      <w:pPr>
        <w:pStyle w:val="Style_2"/>
        <w:widowControl w:val="0"/>
        <w:ind w:firstLine="709" w:left="0" w:right="0"/>
        <w:jc w:val="both"/>
        <w:rPr>
          <w:sz w:val="26"/>
        </w:rPr>
      </w:pPr>
    </w:p>
    <w:p w14:paraId="20000000">
      <w:pPr>
        <w:pStyle w:val="Style_2"/>
        <w:widowControl w:val="0"/>
        <w:ind/>
        <w:jc w:val="center"/>
        <w:rPr>
          <w:rFonts w:ascii="Times New Roman" w:hAnsi="Times New Roman"/>
          <w:b w:val="1"/>
          <w:sz w:val="26"/>
        </w:rPr>
      </w:pPr>
      <w:r>
        <w:rPr>
          <w:b w:val="1"/>
          <w:sz w:val="26"/>
        </w:rPr>
        <w:t>3. Порядок оплаты Имущества</w:t>
      </w:r>
    </w:p>
    <w:p w14:paraId="21000000">
      <w:pPr>
        <w:pStyle w:val="Style_2"/>
        <w:widowControl w:val="0"/>
        <w:ind w:firstLine="720" w:left="0" w:right="0"/>
        <w:jc w:val="both"/>
        <w:rPr>
          <w:rFonts w:ascii="Times New Roman" w:hAnsi="Times New Roman"/>
          <w:sz w:val="26"/>
        </w:rPr>
      </w:pPr>
      <w:r>
        <w:rPr>
          <w:sz w:val="26"/>
        </w:rPr>
        <w:t>3.1. Установленная по итогам Аукциона цена Имущества составляет ____________ (__________________________) рублей</w:t>
      </w:r>
      <w:r>
        <w:rPr>
          <w:rStyle w:val="Style_3_ch"/>
          <w:sz w:val="26"/>
        </w:rPr>
        <w:footnoteReference w:id="1"/>
      </w:r>
      <w:r>
        <w:rPr>
          <w:sz w:val="26"/>
        </w:rPr>
        <w:t xml:space="preserve"> с учетом НДС.</w:t>
      </w:r>
    </w:p>
    <w:p w14:paraId="22000000">
      <w:pPr>
        <w:pStyle w:val="Style_2"/>
        <w:widowControl w:val="0"/>
        <w:ind w:firstLine="720" w:left="0" w:right="0"/>
        <w:jc w:val="both"/>
        <w:rPr>
          <w:rFonts w:ascii="Times New Roman" w:hAnsi="Times New Roman"/>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23000000">
      <w:pPr>
        <w:pStyle w:val="Style_2"/>
        <w:widowControl w:val="0"/>
        <w:ind w:firstLine="720" w:left="0" w:right="0"/>
        <w:jc w:val="both"/>
        <w:rPr>
          <w:sz w:val="25"/>
        </w:rPr>
      </w:pPr>
      <w:r>
        <w:rPr>
          <w:sz w:val="26"/>
        </w:rPr>
        <w:t>3.3.</w:t>
      </w:r>
      <w:r>
        <w:rPr>
          <w:sz w:val="25"/>
        </w:rPr>
        <w:t xml:space="preserve"> 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федеральный бюджет не позднее 30 (тридцать) рабочих дней с даты заключения настоящего Договора в следующем порядке:</w:t>
      </w:r>
    </w:p>
    <w:p w14:paraId="24000000">
      <w:pPr>
        <w:pStyle w:val="Style_2"/>
        <w:widowControl w:val="0"/>
        <w:ind w:firstLine="720" w:left="0" w:right="0"/>
        <w:jc w:val="both"/>
        <w:rPr>
          <w:rFonts w:ascii="Times New Roman" w:hAnsi="Times New Roman"/>
          <w:sz w:val="25"/>
        </w:rPr>
      </w:pPr>
      <w:r>
        <w:rPr>
          <w:sz w:val="25"/>
        </w:rPr>
        <w:t>3.3.1. Оплата в размере</w:t>
      </w:r>
      <w:r>
        <w:rPr>
          <w:b w:val="1"/>
          <w:sz w:val="25"/>
        </w:rPr>
        <w:t xml:space="preserve"> __</w:t>
      </w:r>
      <w:r>
        <w:rPr>
          <w:b w:val="0"/>
          <w:sz w:val="25"/>
        </w:rPr>
        <w:t>________________(_________________) рублей, до</w:t>
      </w:r>
      <w:r>
        <w:rPr>
          <w:sz w:val="25"/>
        </w:rPr>
        <w:t>лжна быть внесена по следующим реквизитам:</w:t>
      </w:r>
    </w:p>
    <w:p w14:paraId="25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Лицевой счет № 05171А18480.</w:t>
      </w:r>
    </w:p>
    <w:p w14:paraId="26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Получатель платежа:</w:t>
      </w:r>
    </w:p>
    <w:p w14:paraId="27000000">
      <w:pPr>
        <w:pStyle w:val="Style_2"/>
        <w:widowControl w:val="0"/>
        <w:tabs>
          <w:tab w:leader="none" w:pos="284" w:val="left"/>
          <w:tab w:leader="none" w:pos="720" w:val="clear"/>
        </w:tabs>
        <w:ind w:firstLine="709" w:left="0" w:right="0"/>
        <w:jc w:val="both"/>
        <w:rPr>
          <w:rFonts w:ascii="Times New Roman" w:hAnsi="Times New Roman"/>
          <w:color w:val="000000"/>
          <w:sz w:val="24"/>
          <w:u w:val="single"/>
        </w:rPr>
      </w:pPr>
      <w:r>
        <w:rPr>
          <w:b w:val="0"/>
          <w:i w:val="0"/>
          <w:caps w:val="0"/>
          <w:smallCaps w:val="0"/>
          <w:color w:val="000000"/>
          <w:spacing w:val="0"/>
          <w:sz w:val="24"/>
          <w:u w:val="single"/>
        </w:rPr>
        <w:t>УФК ПО НОВОСИБИРСКОЙ ОБЛАСТИ (МТУ РОСИМУЩЕСТВА В АЛТАЙСКОМ КРАЕ И РЕСПУБЛИКЕ АЛТАЙ)</w:t>
      </w:r>
      <w:r>
        <w:rPr>
          <w:color w:val="000000"/>
          <w:sz w:val="24"/>
          <w:u w:val="single"/>
        </w:rPr>
        <w:t>;</w:t>
      </w:r>
    </w:p>
    <w:p w14:paraId="28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 xml:space="preserve">ИНН/КПП Получателя: </w:t>
      </w:r>
    </w:p>
    <w:p w14:paraId="29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2221172516/222101001;</w:t>
      </w:r>
    </w:p>
    <w:p w14:paraId="2A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 xml:space="preserve">Казначейский счет (используется в качестве номера счета Получателя): </w:t>
      </w:r>
    </w:p>
    <w:p w14:paraId="2B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03212643000000015104;</w:t>
      </w:r>
    </w:p>
    <w:p w14:paraId="2C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 xml:space="preserve">Банк получателя: </w:t>
      </w:r>
    </w:p>
    <w:p w14:paraId="2D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 xml:space="preserve">Банк получателя: ОКЦ № 1 СибГУ Банка России//УФК по Новосибирской области  г </w:t>
      </w:r>
      <w:r>
        <w:rPr>
          <w:sz w:val="24"/>
          <w:u w:val="single"/>
        </w:rPr>
        <w:t>Новосибирск;</w:t>
      </w:r>
    </w:p>
    <w:p w14:paraId="2E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БИК банка получателя:</w:t>
      </w:r>
    </w:p>
    <w:p w14:paraId="2F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015004950;</w:t>
      </w:r>
    </w:p>
    <w:p w14:paraId="30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Единый казначейский счет (используется в качестве номера счета банка получателя): 40102810445370000043;</w:t>
      </w:r>
    </w:p>
    <w:p w14:paraId="31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Код ОКТМО:</w:t>
      </w:r>
    </w:p>
    <w:p w14:paraId="32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01701000.</w:t>
      </w:r>
    </w:p>
    <w:p w14:paraId="33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Код (в графе 22 платежного поручения): 0011 (обязательно к заполнению).</w:t>
      </w:r>
    </w:p>
    <w:p w14:paraId="34000000">
      <w:pPr>
        <w:pStyle w:val="Style_2"/>
        <w:widowControl w:val="0"/>
        <w:ind w:firstLine="720" w:left="0" w:right="0"/>
        <w:jc w:val="both"/>
        <w:rPr>
          <w:rFonts w:ascii="Times New Roman" w:hAnsi="Times New Roman"/>
          <w:sz w:val="26"/>
        </w:rPr>
      </w:pPr>
      <w:r>
        <w:rPr>
          <w:sz w:val="26"/>
        </w:rPr>
        <w:t>В платежном поручении, оформляющем оплату, должны быть указаны сведения о наименовании Покупателя, Имущества, дата и номер настоящего Договора, а также информация о НДС в назначении платежа.</w:t>
      </w:r>
    </w:p>
    <w:p w14:paraId="35000000">
      <w:pPr>
        <w:pStyle w:val="Style_2"/>
        <w:widowControl w:val="0"/>
        <w:ind w:firstLine="720" w:left="0" w:right="0"/>
        <w:jc w:val="both"/>
        <w:rPr>
          <w:sz w:val="25"/>
        </w:rPr>
      </w:pPr>
      <w:r>
        <w:rPr>
          <w:sz w:val="25"/>
        </w:rPr>
        <w:t xml:space="preserve">3.3.2. Сумма НДС в размере </w:t>
      </w:r>
      <w:r>
        <w:rPr>
          <w:b w:val="1"/>
          <w:sz w:val="25"/>
        </w:rPr>
        <w:t>__</w:t>
      </w:r>
      <w:r>
        <w:rPr>
          <w:b w:val="0"/>
          <w:sz w:val="25"/>
        </w:rPr>
        <w:t>________________(_________________) рублей</w:t>
      </w:r>
      <w:r>
        <w:rPr>
          <w:sz w:val="25"/>
        </w:rPr>
        <w:t xml:space="preserve"> должна быть внесена по следующим реквизитам</w:t>
      </w:r>
      <w:r>
        <w:rPr>
          <w:b w:val="1"/>
          <w:i w:val="1"/>
          <w:sz w:val="25"/>
        </w:rPr>
        <w:t xml:space="preserve"> (для физических лиц): </w:t>
      </w:r>
    </w:p>
    <w:p w14:paraId="36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Лицевой счет № 05171А18480.</w:t>
      </w:r>
    </w:p>
    <w:p w14:paraId="37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Получатель платежа:</w:t>
      </w:r>
    </w:p>
    <w:p w14:paraId="38000000">
      <w:pPr>
        <w:pStyle w:val="Style_2"/>
        <w:widowControl w:val="0"/>
        <w:tabs>
          <w:tab w:leader="none" w:pos="284" w:val="left"/>
          <w:tab w:leader="none" w:pos="720" w:val="clear"/>
        </w:tabs>
        <w:ind w:firstLine="709" w:left="0" w:right="0"/>
        <w:jc w:val="both"/>
        <w:rPr>
          <w:rFonts w:ascii="Times New Roman" w:hAnsi="Times New Roman"/>
          <w:color w:val="000000"/>
          <w:sz w:val="24"/>
          <w:u w:val="single"/>
        </w:rPr>
      </w:pPr>
      <w:r>
        <w:rPr>
          <w:b w:val="0"/>
          <w:i w:val="0"/>
          <w:caps w:val="0"/>
          <w:smallCaps w:val="0"/>
          <w:color w:val="000000"/>
          <w:spacing w:val="0"/>
          <w:sz w:val="24"/>
          <w:u w:val="single"/>
        </w:rPr>
        <w:t>УФК ПО НОВОСИБИРСКОЙ ОБЛАСТИ (МТУ РОСИМУЩЕСТВА В АЛТАЙСКОМ КРАЕ И РЕСПУБЛИКЕ АЛТАЙ)</w:t>
      </w:r>
      <w:r>
        <w:rPr>
          <w:color w:val="000000"/>
          <w:sz w:val="24"/>
          <w:u w:val="single"/>
        </w:rPr>
        <w:t>;</w:t>
      </w:r>
    </w:p>
    <w:p w14:paraId="39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 xml:space="preserve">ИНН/КПП Получателя: </w:t>
      </w:r>
    </w:p>
    <w:p w14:paraId="3A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2221172516/222101001;</w:t>
      </w:r>
    </w:p>
    <w:p w14:paraId="3B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 xml:space="preserve">Казначейский счет (используется в качестве номера счета Получателя): </w:t>
      </w:r>
    </w:p>
    <w:p w14:paraId="3C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03212643000000015104;</w:t>
      </w:r>
    </w:p>
    <w:p w14:paraId="3D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 xml:space="preserve">Банк получателя: </w:t>
      </w:r>
    </w:p>
    <w:p w14:paraId="3E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 xml:space="preserve">Банк получателя: ОКЦ № 1 СибГУ Банка России//УФК по Новосибирской области  г </w:t>
      </w:r>
      <w:r>
        <w:rPr>
          <w:sz w:val="24"/>
          <w:u w:val="single"/>
        </w:rPr>
        <w:t>Новосибирск;</w:t>
      </w:r>
    </w:p>
    <w:p w14:paraId="3F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БИК банка получателя:</w:t>
      </w:r>
    </w:p>
    <w:p w14:paraId="40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015004950;</w:t>
      </w:r>
    </w:p>
    <w:p w14:paraId="41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Единый казначейский счет (используется в качестве номера счета банка получателя): 40102810445370000043;</w:t>
      </w:r>
    </w:p>
    <w:p w14:paraId="42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Код ОКТМО:</w:t>
      </w:r>
    </w:p>
    <w:p w14:paraId="43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01701000.</w:t>
      </w:r>
    </w:p>
    <w:p w14:paraId="44000000">
      <w:pPr>
        <w:pStyle w:val="Style_2"/>
        <w:widowControl w:val="0"/>
        <w:tabs>
          <w:tab w:leader="none" w:pos="284" w:val="left"/>
          <w:tab w:leader="none" w:pos="720" w:val="clear"/>
        </w:tabs>
        <w:ind w:firstLine="709" w:left="0" w:right="0"/>
        <w:jc w:val="both"/>
        <w:rPr>
          <w:rFonts w:ascii="Times New Roman" w:hAnsi="Times New Roman"/>
          <w:sz w:val="24"/>
          <w:u w:val="single"/>
        </w:rPr>
      </w:pPr>
      <w:r>
        <w:rPr>
          <w:sz w:val="24"/>
          <w:u w:val="single"/>
        </w:rPr>
        <w:t>Код (в графе 22 платежного поручения): 0011 (обязательно к заполнению).</w:t>
      </w:r>
    </w:p>
    <w:p w14:paraId="45000000">
      <w:pPr>
        <w:pStyle w:val="Style_2"/>
        <w:widowControl w:val="0"/>
        <w:ind w:firstLine="720" w:left="0" w:right="0"/>
        <w:jc w:val="both"/>
        <w:rPr>
          <w:rFonts w:ascii="Times New Roman" w:hAnsi="Times New Roman"/>
          <w:sz w:val="26"/>
        </w:rPr>
      </w:pPr>
      <w:r>
        <w:rPr>
          <w:sz w:val="26"/>
        </w:rPr>
        <w:t>В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46000000">
      <w:pPr>
        <w:pStyle w:val="Style_2"/>
        <w:widowControl w:val="0"/>
        <w:ind w:firstLine="720" w:left="0" w:right="0"/>
        <w:jc w:val="both"/>
        <w:rPr>
          <w:rFonts w:ascii="Times New Roman" w:hAnsi="Times New Roman"/>
          <w:sz w:val="26"/>
        </w:rPr>
      </w:pPr>
      <w:r>
        <w:rPr>
          <w:sz w:val="26"/>
        </w:rPr>
        <w:t xml:space="preserve">Сумма НДС в размере ___________ (___________) руб. оплачивается Покупателем самостоятельно, в соответствии с п. 3 ст. 161 Налогового кодекса Российской Федерации </w:t>
      </w:r>
      <w:r>
        <w:rPr>
          <w:b w:val="1"/>
          <w:i w:val="1"/>
          <w:sz w:val="26"/>
        </w:rPr>
        <w:t>(для юридических лиц).</w:t>
      </w:r>
      <w:r>
        <w:rPr>
          <w:sz w:val="26"/>
        </w:rPr>
        <w:t xml:space="preserve"> </w:t>
      </w:r>
    </w:p>
    <w:p w14:paraId="47000000">
      <w:pPr>
        <w:pStyle w:val="Style_2"/>
        <w:widowControl w:val="0"/>
        <w:ind w:firstLine="720" w:left="0" w:right="0"/>
        <w:jc w:val="both"/>
        <w:rPr>
          <w:rFonts w:ascii="Times New Roman" w:hAnsi="Times New Roman"/>
          <w:sz w:val="26"/>
        </w:rPr>
      </w:pPr>
      <w:r>
        <w:rPr>
          <w:sz w:val="26"/>
        </w:rPr>
        <w:t>3.4. Моментом исполнения обязательства Покупателя по оплате Имущества считается день зачисления в федеральный бюджет денежных средств, указанных в пункте 3.3. Договора.</w:t>
      </w:r>
    </w:p>
    <w:p w14:paraId="48000000">
      <w:pPr>
        <w:pStyle w:val="Style_2"/>
        <w:widowControl w:val="0"/>
        <w:ind w:firstLine="720" w:left="0" w:right="0"/>
        <w:jc w:val="both"/>
        <w:rPr>
          <w:rFonts w:ascii="Times New Roman" w:hAnsi="Times New Roman"/>
          <w:sz w:val="26"/>
        </w:rPr>
      </w:pPr>
      <w:r>
        <w:rPr>
          <w:sz w:val="26"/>
        </w:rPr>
        <w:t>Исполнение обязательства по оплате Имущества может быть возложено Покупателем на третье лицо. При этом Продавец обязан признать платеж, произведенный третьим лицом по реквизитам, указанным в пункте 3.3. Договора.</w:t>
      </w:r>
    </w:p>
    <w:p w14:paraId="49000000">
      <w:pPr>
        <w:pStyle w:val="Style_2"/>
        <w:widowControl w:val="0"/>
        <w:ind w:firstLine="720" w:left="0" w:right="0"/>
        <w:jc w:val="both"/>
        <w:rPr>
          <w:rFonts w:ascii="Times New Roman" w:hAnsi="Times New Roman"/>
          <w:sz w:val="26"/>
        </w:rPr>
      </w:pPr>
      <w:r>
        <w:rPr>
          <w:sz w:val="26"/>
        </w:rPr>
        <w:t>3.5. Надлежащим выполнением обязательства Покупателя по оплате Имущества является выполнение пункта 3.3. настоящего Договора.</w:t>
      </w:r>
    </w:p>
    <w:p w14:paraId="4A000000">
      <w:pPr>
        <w:pStyle w:val="Style_2"/>
        <w:widowControl w:val="0"/>
        <w:ind w:firstLine="720" w:left="0" w:right="0"/>
        <w:jc w:val="both"/>
        <w:rPr>
          <w:rFonts w:ascii="Times New Roman" w:hAnsi="Times New Roman"/>
          <w:sz w:val="26"/>
        </w:rPr>
      </w:pPr>
    </w:p>
    <w:p w14:paraId="4B000000">
      <w:pPr>
        <w:pStyle w:val="Style_2"/>
        <w:widowControl w:val="0"/>
        <w:numPr>
          <w:ilvl w:val="0"/>
          <w:numId w:val="0"/>
        </w:numPr>
        <w:tabs>
          <w:tab w:leader="none" w:pos="720" w:val="clear"/>
          <w:tab w:leader="none" w:pos="851" w:val="left"/>
        </w:tabs>
        <w:spacing w:after="120" w:before="120"/>
        <w:ind w:firstLine="0" w:left="0"/>
        <w:jc w:val="center"/>
        <w:outlineLvl w:val="2"/>
        <w:rPr>
          <w:rFonts w:ascii="Times New Roman" w:hAnsi="Times New Roman"/>
          <w:b w:val="1"/>
          <w:color w:val="000000"/>
          <w:sz w:val="26"/>
        </w:rPr>
      </w:pPr>
      <w:r>
        <w:rPr>
          <w:b w:val="1"/>
          <w:color w:val="000000"/>
          <w:sz w:val="26"/>
        </w:rPr>
        <w:t>4. Переход права собственности на Имущество</w:t>
      </w:r>
    </w:p>
    <w:p w14:paraId="4C000000">
      <w:pPr>
        <w:pStyle w:val="Style_2"/>
        <w:widowControl w:val="1"/>
        <w:ind w:firstLine="720" w:left="0" w:right="0"/>
        <w:jc w:val="both"/>
        <w:rPr>
          <w:sz w:val="26"/>
        </w:rPr>
      </w:pPr>
      <w:r>
        <w:rPr>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4D000000">
      <w:pPr>
        <w:pStyle w:val="Style_2"/>
        <w:widowControl w:val="1"/>
        <w:ind w:firstLine="720" w:left="0" w:right="0"/>
        <w:jc w:val="both"/>
        <w:rPr>
          <w:sz w:val="26"/>
        </w:rPr>
      </w:pPr>
      <w:r>
        <w:rPr>
          <w:sz w:val="26"/>
        </w:rPr>
        <w:t xml:space="preserve">После надлежащего исполнения Покупателем обязанности по оплате Имущества </w:t>
      </w:r>
      <w:r>
        <w:rPr>
          <w:sz w:val="26"/>
        </w:rPr>
        <w:br/>
      </w:r>
      <w:r>
        <w:rPr>
          <w:sz w:val="26"/>
        </w:rPr>
        <w:t>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4E000000">
      <w:pPr>
        <w:pStyle w:val="Style_2"/>
        <w:widowControl w:val="1"/>
        <w:ind w:firstLine="720" w:left="0" w:right="0"/>
        <w:jc w:val="both"/>
        <w:rPr>
          <w:sz w:val="26"/>
        </w:rPr>
      </w:pPr>
      <w:r>
        <w:rPr>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4F000000">
      <w:pPr>
        <w:pStyle w:val="Style_2"/>
        <w:widowControl w:val="1"/>
        <w:ind w:firstLine="720" w:left="0" w:right="0"/>
        <w:jc w:val="both"/>
        <w:rPr>
          <w:sz w:val="26"/>
        </w:rPr>
      </w:pPr>
      <w:r>
        <w:rPr>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50000000">
      <w:pPr>
        <w:pStyle w:val="Style_2"/>
        <w:widowControl w:val="1"/>
        <w:ind w:firstLine="720" w:left="0" w:right="0"/>
        <w:jc w:val="both"/>
        <w:rPr>
          <w:sz w:val="26"/>
        </w:rPr>
      </w:pPr>
      <w:r>
        <w:rPr>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51000000">
      <w:pPr>
        <w:pStyle w:val="Style_2"/>
        <w:widowControl w:val="1"/>
        <w:ind w:firstLine="720" w:left="0" w:right="0"/>
        <w:jc w:val="both"/>
        <w:rPr>
          <w:sz w:val="26"/>
        </w:rPr>
      </w:pPr>
      <w:r>
        <w:rPr>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52000000">
      <w:pPr>
        <w:pStyle w:val="Style_2"/>
        <w:widowControl w:val="0"/>
        <w:numPr>
          <w:ilvl w:val="0"/>
          <w:numId w:val="0"/>
        </w:numPr>
        <w:tabs>
          <w:tab w:leader="none" w:pos="720" w:val="clear"/>
          <w:tab w:leader="none" w:pos="851" w:val="left"/>
        </w:tabs>
        <w:spacing w:after="120" w:before="120"/>
        <w:ind w:firstLine="0" w:left="0"/>
        <w:jc w:val="center"/>
        <w:outlineLvl w:val="2"/>
        <w:rPr>
          <w:rFonts w:ascii="Times New Roman" w:hAnsi="Times New Roman"/>
          <w:b w:val="1"/>
          <w:color w:val="000000"/>
          <w:sz w:val="26"/>
        </w:rPr>
      </w:pPr>
      <w:r>
        <w:rPr>
          <w:b w:val="1"/>
          <w:color w:val="000000"/>
          <w:sz w:val="26"/>
        </w:rPr>
        <w:t>5. Ответственность Сторон</w:t>
      </w:r>
    </w:p>
    <w:p w14:paraId="53000000">
      <w:pPr>
        <w:pStyle w:val="Style_2"/>
        <w:widowControl w:val="0"/>
        <w:ind w:firstLine="720" w:left="0" w:right="0"/>
        <w:jc w:val="both"/>
        <w:rPr>
          <w:rFonts w:ascii="Times New Roman" w:hAnsi="Times New Roman"/>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54000000">
      <w:pPr>
        <w:pStyle w:val="Style_2"/>
        <w:widowControl w:val="0"/>
        <w:ind w:firstLine="720" w:left="0" w:right="0"/>
        <w:jc w:val="both"/>
        <w:rPr>
          <w:rFonts w:ascii="Times New Roman" w:hAnsi="Times New Roman"/>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–Закон) и не является:</w:t>
      </w:r>
    </w:p>
    <w:p w14:paraId="55000000">
      <w:pPr>
        <w:pStyle w:val="Style_2"/>
        <w:widowControl w:val="0"/>
        <w:ind w:firstLine="720" w:left="0" w:right="0"/>
        <w:jc w:val="both"/>
        <w:rPr>
          <w:rFonts w:ascii="Times New Roman" w:hAnsi="Times New Roman"/>
          <w:sz w:val="26"/>
        </w:rPr>
      </w:pPr>
      <w:r>
        <w:rPr>
          <w:sz w:val="26"/>
        </w:rPr>
        <w:t>- государственным и муниципальным унитарным предприятием, государственным и муниципальным учреждением;</w:t>
      </w:r>
    </w:p>
    <w:p w14:paraId="56000000">
      <w:pPr>
        <w:pStyle w:val="Style_2"/>
        <w:widowControl w:val="0"/>
        <w:ind w:firstLine="720" w:left="0" w:right="0"/>
        <w:jc w:val="both"/>
        <w:rPr>
          <w:rFonts w:ascii="Times New Roman" w:hAnsi="Times New Roman"/>
          <w:sz w:val="26"/>
        </w:rPr>
      </w:pPr>
      <w:r>
        <w:rPr>
          <w:sz w:val="26"/>
        </w:rPr>
        <w:t>- юридическим лицом, в уставном капитале которого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57000000">
      <w:pPr>
        <w:pStyle w:val="Style_2"/>
        <w:widowControl w:val="0"/>
        <w:ind w:firstLine="720" w:left="0" w:right="0"/>
        <w:jc w:val="both"/>
        <w:rPr>
          <w:rFonts w:ascii="Times New Roman" w:hAnsi="Times New Roman"/>
          <w:sz w:val="26"/>
        </w:rPr>
      </w:pPr>
      <w:r>
        <w:rPr>
          <w:sz w:val="26"/>
        </w:rPr>
        <w:t>-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14:paraId="58000000">
      <w:pPr>
        <w:pStyle w:val="Style_2"/>
        <w:widowControl w:val="0"/>
        <w:ind w:firstLine="720" w:left="0" w:right="0"/>
        <w:jc w:val="both"/>
        <w:rPr>
          <w:rFonts w:ascii="Times New Roman" w:hAnsi="Times New Roman"/>
          <w:sz w:val="26"/>
        </w:rPr>
      </w:pPr>
      <w:r>
        <w:rPr>
          <w:sz w:val="26"/>
        </w:rPr>
        <w:t>5.2. За нарушение сроков внесения денежных средств в счет оплаты Имущества в порядке, предусмотренном пунктом 3.3. настоящего Договора, Покупатель уплачивает Продавцу пеню в размере 0,2 % от невнесенной суммы за каждый календарный день просрочки по следующим реквизитам:</w:t>
      </w:r>
    </w:p>
    <w:p w14:paraId="59000000">
      <w:pPr>
        <w:pStyle w:val="Style_2"/>
        <w:widowControl w:val="0"/>
        <w:ind w:firstLine="720" w:left="0" w:right="0"/>
        <w:jc w:val="both"/>
        <w:rPr>
          <w:rFonts w:ascii="Times New Roman" w:hAnsi="Times New Roman"/>
          <w:sz w:val="26"/>
          <w:u w:val="single"/>
        </w:rPr>
      </w:pPr>
      <w:r>
        <w:rPr>
          <w:sz w:val="26"/>
          <w:u w:val="single"/>
        </w:rPr>
        <w:t>Получатель платежа: УФК по Алтайскому краю (МТУ Росимущества в Алтайском крае и Республике Алтай);</w:t>
      </w:r>
    </w:p>
    <w:p w14:paraId="5A000000">
      <w:pPr>
        <w:pStyle w:val="Style_2"/>
        <w:widowControl w:val="0"/>
        <w:ind w:firstLine="720" w:left="0" w:right="0"/>
        <w:jc w:val="both"/>
        <w:rPr>
          <w:rFonts w:ascii="Times New Roman" w:hAnsi="Times New Roman"/>
          <w:sz w:val="26"/>
          <w:u w:val="single"/>
        </w:rPr>
      </w:pPr>
      <w:r>
        <w:rPr>
          <w:sz w:val="26"/>
          <w:u w:val="single"/>
        </w:rPr>
        <w:t>ИНН/КПП Получателя: 2221172516/222101001;</w:t>
      </w:r>
    </w:p>
    <w:p w14:paraId="5B000000">
      <w:pPr>
        <w:pStyle w:val="Style_2"/>
        <w:widowControl w:val="0"/>
        <w:ind w:firstLine="720" w:left="0" w:right="0"/>
        <w:jc w:val="both"/>
        <w:rPr>
          <w:rFonts w:ascii="Times New Roman" w:hAnsi="Times New Roman"/>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C000000">
      <w:pPr>
        <w:pStyle w:val="Style_2"/>
        <w:widowControl w:val="0"/>
        <w:ind w:firstLine="720" w:left="0" w:right="0"/>
        <w:jc w:val="both"/>
        <w:rPr>
          <w:rFonts w:ascii="Times New Roman" w:hAnsi="Times New Roman"/>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5D000000">
      <w:pPr>
        <w:pStyle w:val="Style_2"/>
        <w:widowControl w:val="0"/>
        <w:ind w:firstLine="720" w:left="0" w:right="0"/>
        <w:jc w:val="both"/>
        <w:rPr>
          <w:rFonts w:ascii="Times New Roman" w:hAnsi="Times New Roman"/>
          <w:sz w:val="26"/>
          <w:u w:val="single"/>
        </w:rPr>
      </w:pPr>
      <w:r>
        <w:rPr>
          <w:sz w:val="26"/>
          <w:u w:val="single"/>
        </w:rPr>
        <w:t>БИК банка получателя: 010173001;</w:t>
      </w:r>
    </w:p>
    <w:p w14:paraId="5E000000">
      <w:pPr>
        <w:pStyle w:val="Style_2"/>
        <w:widowControl w:val="0"/>
        <w:ind w:firstLine="720" w:left="0" w:right="0"/>
        <w:jc w:val="both"/>
        <w:rPr>
          <w:rFonts w:ascii="Times New Roman" w:hAnsi="Times New Roman"/>
          <w:sz w:val="26"/>
          <w:u w:val="single"/>
        </w:rPr>
      </w:pPr>
      <w:r>
        <w:rPr>
          <w:sz w:val="26"/>
          <w:u w:val="single"/>
        </w:rPr>
        <w:t>Единый казначейский счет: 40102810045370000009;</w:t>
      </w:r>
    </w:p>
    <w:p w14:paraId="5F000000">
      <w:pPr>
        <w:pStyle w:val="Style_2"/>
        <w:widowControl w:val="0"/>
        <w:ind w:firstLine="720" w:left="0" w:right="0"/>
        <w:jc w:val="both"/>
        <w:rPr>
          <w:rFonts w:ascii="Times New Roman" w:hAnsi="Times New Roman"/>
          <w:sz w:val="26"/>
          <w:highlight w:val="yellow"/>
          <w:u w:val="single"/>
        </w:rPr>
      </w:pPr>
      <w:r>
        <w:rPr>
          <w:sz w:val="26"/>
          <w:u w:val="single"/>
        </w:rPr>
        <w:t>Код ОКТМО: 01701000;</w:t>
      </w:r>
    </w:p>
    <w:p w14:paraId="60000000">
      <w:pPr>
        <w:pStyle w:val="Style_2"/>
        <w:widowControl w:val="0"/>
        <w:ind w:firstLine="720" w:left="0" w:right="0"/>
        <w:jc w:val="both"/>
        <w:rPr>
          <w:rFonts w:ascii="Times New Roman" w:hAnsi="Times New Roman"/>
          <w:sz w:val="26"/>
          <w:u w:val="single"/>
        </w:rPr>
      </w:pPr>
      <w:r>
        <w:rPr>
          <w:sz w:val="26"/>
          <w:u w:val="single"/>
        </w:rPr>
        <w:t xml:space="preserve">КБК 167 1 16 07090 01 9000 140. </w:t>
      </w:r>
    </w:p>
    <w:p w14:paraId="61000000">
      <w:pPr>
        <w:pStyle w:val="Style_2"/>
        <w:widowControl w:val="0"/>
        <w:ind w:firstLine="720" w:left="0" w:right="0"/>
        <w:jc w:val="both"/>
        <w:rPr>
          <w:rFonts w:ascii="Times New Roman" w:hAnsi="Times New Roman"/>
          <w:sz w:val="26"/>
          <w:u w:val="single"/>
        </w:rPr>
      </w:pPr>
      <w:r>
        <w:rPr>
          <w:sz w:val="26"/>
          <w:u w:val="single"/>
        </w:rPr>
        <w:t>Назначение платежа: «               ».</w:t>
      </w:r>
    </w:p>
    <w:p w14:paraId="62000000">
      <w:pPr>
        <w:pStyle w:val="Style_2"/>
        <w:widowControl w:val="0"/>
        <w:ind w:firstLine="720" w:left="0" w:right="0"/>
        <w:jc w:val="both"/>
        <w:rPr>
          <w:rFonts w:ascii="Times New Roman" w:hAnsi="Times New Roman"/>
          <w:sz w:val="26"/>
        </w:rPr>
      </w:pPr>
      <w:r>
        <w:rPr>
          <w:sz w:val="26"/>
        </w:rPr>
        <w:t xml:space="preserve">5.3. </w:t>
      </w:r>
      <w:r>
        <w:rPr>
          <w:sz w:val="26"/>
        </w:rPr>
        <w:t>Просрочка внесения денежных средств в счет оплаты Имущества в сумме и сроки, указанные в статье 3 настоящего Договора свыше 5 (пяти) рабочих дней считается отказом Покупателя от исполнения обязательств по оплате Имущества, установленных статьей 3 настоящего Договора. В указанном случае, Договор признается расторгнутым начиная со дня, следующего за днем истечения срока на просрочку, указанную выше. При этом, внесенный Покупателем задаток не возвращается, и остается у Продавца в качестве штрафа. Оформление Сторонами дополнительного соглашения о расторжении настоящего Договора в указанном случае не требуется.</w:t>
      </w:r>
    </w:p>
    <w:p w14:paraId="63000000">
      <w:pPr>
        <w:pStyle w:val="Style_2"/>
        <w:widowControl w:val="0"/>
        <w:ind w:firstLine="720" w:left="0" w:right="0"/>
        <w:jc w:val="both"/>
        <w:rPr>
          <w:rFonts w:ascii="Times New Roman" w:hAnsi="Times New Roman"/>
          <w:sz w:val="26"/>
        </w:rPr>
      </w:pPr>
      <w:r>
        <w:rPr>
          <w:sz w:val="26"/>
        </w:rPr>
        <w:t>Расторжение Договора не освобождает Покупателя от уплаты пени, предусмотренной настоящим Договором.</w:t>
      </w:r>
    </w:p>
    <w:p w14:paraId="64000000">
      <w:pPr>
        <w:pStyle w:val="Style_2"/>
        <w:widowControl w:val="0"/>
        <w:ind w:firstLine="720" w:left="0" w:right="0"/>
        <w:jc w:val="both"/>
        <w:rPr>
          <w:rFonts w:ascii="Times New Roman" w:hAnsi="Times New Roman"/>
          <w:sz w:val="26"/>
        </w:rPr>
      </w:pPr>
      <w:r>
        <w:rPr>
          <w:sz w:val="26"/>
        </w:rPr>
        <w:t>5.4. 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Аукционе задатка по следующим реквизитам:</w:t>
      </w:r>
    </w:p>
    <w:p w14:paraId="65000000">
      <w:pPr>
        <w:pStyle w:val="Style_2"/>
        <w:widowControl w:val="0"/>
        <w:ind w:firstLine="720" w:left="0" w:right="0"/>
        <w:jc w:val="both"/>
        <w:rPr>
          <w:rFonts w:ascii="Times New Roman" w:hAnsi="Times New Roman"/>
          <w:sz w:val="26"/>
          <w:u w:val="single"/>
        </w:rPr>
      </w:pPr>
      <w:r>
        <w:rPr>
          <w:sz w:val="26"/>
          <w:u w:val="single"/>
        </w:rPr>
        <w:t>Получатель платежа: УФК по Алтайскому краю (МТУ Росимущества в Алтайском крае и Республике Алтай);</w:t>
      </w:r>
    </w:p>
    <w:p w14:paraId="66000000">
      <w:pPr>
        <w:pStyle w:val="Style_2"/>
        <w:widowControl w:val="0"/>
        <w:ind w:firstLine="720" w:left="0" w:right="0"/>
        <w:jc w:val="both"/>
        <w:rPr>
          <w:rFonts w:ascii="Times New Roman" w:hAnsi="Times New Roman"/>
          <w:sz w:val="26"/>
          <w:u w:val="single"/>
        </w:rPr>
      </w:pPr>
      <w:r>
        <w:rPr>
          <w:sz w:val="26"/>
          <w:u w:val="single"/>
        </w:rPr>
        <w:t>ИНН/КПП Получателя: 2221172516/222101001;</w:t>
      </w:r>
    </w:p>
    <w:p w14:paraId="67000000">
      <w:pPr>
        <w:pStyle w:val="Style_2"/>
        <w:widowControl w:val="0"/>
        <w:ind w:firstLine="720" w:left="0" w:right="0"/>
        <w:jc w:val="both"/>
        <w:rPr>
          <w:rFonts w:ascii="Times New Roman" w:hAnsi="Times New Roman"/>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68000000">
      <w:pPr>
        <w:pStyle w:val="Style_2"/>
        <w:widowControl w:val="0"/>
        <w:ind w:firstLine="720" w:left="0" w:right="0"/>
        <w:jc w:val="both"/>
        <w:rPr>
          <w:rFonts w:ascii="Times New Roman" w:hAnsi="Times New Roman"/>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69000000">
      <w:pPr>
        <w:pStyle w:val="Style_2"/>
        <w:widowControl w:val="0"/>
        <w:ind w:firstLine="720" w:left="0" w:right="0"/>
        <w:jc w:val="both"/>
        <w:rPr>
          <w:rFonts w:ascii="Times New Roman" w:hAnsi="Times New Roman"/>
          <w:sz w:val="26"/>
          <w:u w:val="single"/>
        </w:rPr>
      </w:pPr>
      <w:r>
        <w:rPr>
          <w:sz w:val="26"/>
          <w:u w:val="single"/>
        </w:rPr>
        <w:t>БИК банка получателя: 010173001;</w:t>
      </w:r>
    </w:p>
    <w:p w14:paraId="6A000000">
      <w:pPr>
        <w:pStyle w:val="Style_2"/>
        <w:widowControl w:val="0"/>
        <w:ind w:firstLine="720" w:left="0" w:right="0"/>
        <w:jc w:val="both"/>
        <w:rPr>
          <w:rFonts w:ascii="Times New Roman" w:hAnsi="Times New Roman"/>
          <w:sz w:val="26"/>
          <w:u w:val="single"/>
        </w:rPr>
      </w:pPr>
      <w:r>
        <w:rPr>
          <w:sz w:val="26"/>
          <w:u w:val="single"/>
        </w:rPr>
        <w:t>Единый казначейский счет: 40102810045370000009;</w:t>
      </w:r>
    </w:p>
    <w:p w14:paraId="6B000000">
      <w:pPr>
        <w:pStyle w:val="Style_2"/>
        <w:widowControl w:val="0"/>
        <w:ind w:firstLine="720" w:left="0" w:right="0"/>
        <w:jc w:val="both"/>
        <w:rPr>
          <w:rFonts w:ascii="Times New Roman" w:hAnsi="Times New Roman"/>
          <w:sz w:val="26"/>
          <w:u w:val="single"/>
        </w:rPr>
      </w:pPr>
      <w:r>
        <w:rPr>
          <w:sz w:val="26"/>
          <w:u w:val="single"/>
        </w:rPr>
        <w:t>Код ОКТМО: 01701000;</w:t>
      </w:r>
    </w:p>
    <w:p w14:paraId="6C000000">
      <w:pPr>
        <w:pStyle w:val="Style_2"/>
        <w:widowControl w:val="0"/>
        <w:ind w:firstLine="720" w:left="0" w:right="0"/>
        <w:jc w:val="both"/>
        <w:rPr>
          <w:rFonts w:ascii="Times New Roman" w:hAnsi="Times New Roman"/>
          <w:sz w:val="26"/>
          <w:u w:val="single"/>
        </w:rPr>
      </w:pPr>
      <w:r>
        <w:rPr>
          <w:sz w:val="26"/>
          <w:u w:val="single"/>
        </w:rPr>
        <w:t xml:space="preserve">КБК 167 1 16 07090 01 9000 140. </w:t>
      </w:r>
    </w:p>
    <w:p w14:paraId="6D000000">
      <w:pPr>
        <w:pStyle w:val="Style_2"/>
        <w:widowControl w:val="0"/>
        <w:ind w:firstLine="720" w:left="0" w:right="0"/>
        <w:jc w:val="both"/>
        <w:rPr>
          <w:rFonts w:ascii="Times New Roman" w:hAnsi="Times New Roman"/>
          <w:sz w:val="26"/>
        </w:rPr>
      </w:pPr>
      <w:r>
        <w:rPr>
          <w:sz w:val="26"/>
        </w:rPr>
        <w:t>5.5.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 оплаты труда, установленных на дату уплаты штрафа.</w:t>
      </w:r>
    </w:p>
    <w:p w14:paraId="6E000000">
      <w:pPr>
        <w:pStyle w:val="Style_2"/>
        <w:widowControl w:val="0"/>
        <w:ind/>
        <w:jc w:val="center"/>
        <w:rPr>
          <w:rFonts w:ascii="Times New Roman" w:hAnsi="Times New Roman"/>
          <w:b w:val="1"/>
          <w:sz w:val="26"/>
        </w:rPr>
      </w:pPr>
    </w:p>
    <w:p w14:paraId="6F000000">
      <w:pPr>
        <w:pStyle w:val="Style_2"/>
        <w:widowControl w:val="0"/>
        <w:ind/>
        <w:jc w:val="center"/>
        <w:rPr>
          <w:rFonts w:ascii="Times New Roman" w:hAnsi="Times New Roman"/>
          <w:b w:val="1"/>
          <w:sz w:val="26"/>
        </w:rPr>
      </w:pPr>
      <w:r>
        <w:rPr>
          <w:b w:val="1"/>
          <w:sz w:val="26"/>
        </w:rPr>
        <w:t>6. Заключительные положения</w:t>
      </w:r>
    </w:p>
    <w:p w14:paraId="70000000">
      <w:pPr>
        <w:pStyle w:val="Style_2"/>
        <w:widowControl w:val="0"/>
        <w:ind w:firstLine="720" w:left="0" w:right="0"/>
        <w:jc w:val="both"/>
        <w:rPr>
          <w:rFonts w:ascii="Times New Roman" w:hAnsi="Times New Roman"/>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71000000">
      <w:pPr>
        <w:pStyle w:val="Style_2"/>
        <w:widowControl w:val="0"/>
        <w:ind w:firstLine="720" w:left="0" w:right="0"/>
        <w:jc w:val="both"/>
        <w:rPr>
          <w:rFonts w:ascii="Times New Roman" w:hAnsi="Times New Roman"/>
          <w:sz w:val="26"/>
        </w:rPr>
      </w:pPr>
      <w:r>
        <w:rPr>
          <w:sz w:val="26"/>
        </w:rPr>
        <w:t>6.2. Настоящий Договор вступает в силу с момента его подписания и прекращает свое действие:</w:t>
      </w:r>
    </w:p>
    <w:p w14:paraId="72000000">
      <w:pPr>
        <w:pStyle w:val="Style_2"/>
        <w:widowControl w:val="0"/>
        <w:numPr>
          <w:ilvl w:val="0"/>
          <w:numId w:val="0"/>
        </w:numPr>
        <w:ind w:firstLine="720" w:left="0" w:right="0"/>
        <w:jc w:val="both"/>
        <w:rPr>
          <w:rFonts w:ascii="Times New Roman" w:hAnsi="Times New Roman"/>
          <w:sz w:val="26"/>
        </w:rPr>
      </w:pPr>
      <w:r>
        <w:rPr>
          <w:sz w:val="26"/>
        </w:rPr>
        <w:t>- исполнением Сторонами своих обязательств по настоящему Договору;</w:t>
      </w:r>
    </w:p>
    <w:p w14:paraId="73000000">
      <w:pPr>
        <w:pStyle w:val="Style_2"/>
        <w:widowControl w:val="0"/>
        <w:numPr>
          <w:ilvl w:val="0"/>
          <w:numId w:val="0"/>
        </w:numPr>
        <w:ind w:firstLine="720" w:left="0" w:right="0"/>
        <w:jc w:val="both"/>
        <w:rPr>
          <w:rFonts w:ascii="Times New Roman" w:hAnsi="Times New Roman"/>
          <w:sz w:val="26"/>
        </w:rPr>
      </w:pPr>
      <w:r>
        <w:rPr>
          <w:sz w:val="26"/>
        </w:rPr>
        <w:t>- в случае, предусмотренном пунктом 5.3 настоящего Договора;</w:t>
      </w:r>
    </w:p>
    <w:p w14:paraId="74000000">
      <w:pPr>
        <w:pStyle w:val="Style_2"/>
        <w:widowControl w:val="0"/>
        <w:numPr>
          <w:ilvl w:val="0"/>
          <w:numId w:val="0"/>
        </w:numPr>
        <w:ind w:firstLine="720" w:left="0" w:right="0"/>
        <w:jc w:val="both"/>
        <w:rPr>
          <w:rFonts w:ascii="Times New Roman" w:hAnsi="Times New Roman"/>
          <w:sz w:val="26"/>
        </w:rPr>
      </w:pPr>
      <w:r>
        <w:rPr>
          <w:sz w:val="26"/>
        </w:rPr>
        <w:t>- по иным основаниям, предусмотренным действующим законодательством.</w:t>
      </w:r>
    </w:p>
    <w:p w14:paraId="75000000">
      <w:pPr>
        <w:pStyle w:val="Style_2"/>
        <w:widowControl w:val="0"/>
        <w:ind w:firstLine="720" w:left="0" w:right="0"/>
        <w:jc w:val="both"/>
        <w:rPr>
          <w:rFonts w:ascii="Times New Roman" w:hAnsi="Times New Roman"/>
          <w:sz w:val="26"/>
        </w:rPr>
      </w:pPr>
      <w:r>
        <w:rPr>
          <w:sz w:val="26"/>
        </w:rPr>
        <w:t>6.3. Все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76000000">
      <w:pPr>
        <w:pStyle w:val="Style_2"/>
        <w:widowControl w:val="0"/>
        <w:ind w:firstLine="720" w:left="0" w:right="0"/>
        <w:jc w:val="both"/>
        <w:rPr>
          <w:rFonts w:ascii="Times New Roman" w:hAnsi="Times New Roman"/>
          <w:sz w:val="26"/>
        </w:rPr>
      </w:pPr>
      <w:r>
        <w:rPr>
          <w:sz w:val="26"/>
        </w:rPr>
        <w:t>6.4. Настоящий Договор заключается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77000000">
      <w:pPr>
        <w:pStyle w:val="Style_2"/>
        <w:widowControl w:val="0"/>
        <w:ind w:firstLine="720" w:left="0" w:right="0"/>
        <w:jc w:val="both"/>
        <w:rPr>
          <w:rFonts w:ascii="Times New Roman" w:hAnsi="Times New Roman"/>
          <w:b w:val="1"/>
          <w:sz w:val="26"/>
        </w:rPr>
      </w:pPr>
    </w:p>
    <w:p w14:paraId="78000000">
      <w:pPr>
        <w:pStyle w:val="Style_2"/>
        <w:widowControl w:val="0"/>
        <w:ind/>
        <w:jc w:val="center"/>
        <w:rPr>
          <w:rFonts w:ascii="Times New Roman" w:hAnsi="Times New Roman"/>
          <w:b w:val="1"/>
          <w:sz w:val="26"/>
        </w:rPr>
      </w:pPr>
    </w:p>
    <w:p w14:paraId="79000000">
      <w:pPr>
        <w:pStyle w:val="Style_2"/>
        <w:widowControl w:val="0"/>
        <w:ind/>
        <w:jc w:val="center"/>
        <w:rPr>
          <w:rFonts w:ascii="Times New Roman" w:hAnsi="Times New Roman"/>
          <w:b w:val="1"/>
          <w:sz w:val="26"/>
        </w:rPr>
      </w:pPr>
      <w:r>
        <w:rPr>
          <w:b w:val="1"/>
          <w:sz w:val="26"/>
        </w:rPr>
        <w:t>7. Реквизиты Сторон</w:t>
      </w:r>
    </w:p>
    <w:p w14:paraId="7A000000">
      <w:pPr>
        <w:pStyle w:val="Style_2"/>
        <w:widowControl w:val="0"/>
        <w:tabs>
          <w:tab w:leader="none" w:pos="0" w:val="left"/>
          <w:tab w:leader="none" w:pos="720" w:val="clear"/>
        </w:tabs>
        <w:ind/>
        <w:jc w:val="both"/>
        <w:rPr>
          <w:rFonts w:ascii="Times New Roman" w:hAnsi="Times New Roman"/>
          <w:b w:val="1"/>
          <w:sz w:val="26"/>
        </w:rPr>
      </w:pPr>
    </w:p>
    <w:tbl>
      <w:tblPr>
        <w:tblStyle w:val="Style_4"/>
        <w:tblInd w:type="dxa" w:w="108"/>
        <w:tblLayout w:type="fixed"/>
        <w:tblCellMar>
          <w:top w:type="dxa" w:w="0"/>
          <w:left w:type="dxa" w:w="108"/>
          <w:bottom w:type="dxa" w:w="0"/>
          <w:right w:type="dxa" w:w="108"/>
        </w:tblCellMar>
      </w:tblPr>
      <w:tblGrid>
        <w:gridCol w:w="4535"/>
        <w:gridCol w:w="4821"/>
      </w:tblGrid>
      <w:tr>
        <w:tc>
          <w:tcPr>
            <w:tcW w:type="dxa" w:w="4535"/>
            <w:tcMar>
              <w:top w:type="dxa" w:w="0"/>
              <w:left w:type="dxa" w:w="108"/>
              <w:bottom w:type="dxa" w:w="0"/>
              <w:right w:type="dxa" w:w="108"/>
            </w:tcMar>
          </w:tcPr>
          <w:p w14:paraId="7B000000">
            <w:pPr>
              <w:pStyle w:val="Style_2"/>
              <w:widowControl w:val="0"/>
              <w:numPr>
                <w:ilvl w:val="0"/>
                <w:numId w:val="0"/>
              </w:numPr>
              <w:spacing w:after="120" w:before="120" w:line="240" w:lineRule="auto"/>
              <w:ind w:firstLine="0" w:left="0" w:right="0"/>
              <w:jc w:val="left"/>
              <w:outlineLvl w:val="1"/>
              <w:rPr>
                <w:rFonts w:ascii="Times New Roman" w:hAnsi="Times New Roman"/>
                <w:b w:val="1"/>
                <w:sz w:val="26"/>
              </w:rPr>
            </w:pPr>
            <w:r>
              <w:rPr>
                <w:b w:val="1"/>
                <w:color w:val="000000"/>
                <w:spacing w:val="0"/>
                <w:sz w:val="26"/>
              </w:rPr>
              <w:t xml:space="preserve">                  </w:t>
            </w:r>
            <w:r>
              <w:rPr>
                <w:b w:val="1"/>
                <w:color w:val="000000"/>
                <w:spacing w:val="0"/>
                <w:sz w:val="26"/>
              </w:rPr>
              <w:t>Продавец</w:t>
            </w:r>
          </w:p>
          <w:p w14:paraId="7C000000">
            <w:pPr>
              <w:pStyle w:val="Style_2"/>
              <w:widowControl w:val="0"/>
              <w:numPr>
                <w:ilvl w:val="0"/>
                <w:numId w:val="0"/>
              </w:numPr>
              <w:spacing w:after="120" w:before="120" w:line="240" w:lineRule="auto"/>
              <w:ind w:firstLine="0" w:left="0" w:right="0"/>
              <w:jc w:val="left"/>
              <w:outlineLvl w:val="1"/>
              <w:rPr>
                <w:rFonts w:ascii="Times New Roman" w:hAnsi="Times New Roman"/>
                <w:b w:val="1"/>
                <w:sz w:val="26"/>
              </w:rPr>
            </w:pPr>
            <w:r>
              <w:rPr>
                <w:b w:val="1"/>
                <w:color w:val="000000"/>
                <w:spacing w:val="0"/>
                <w:sz w:val="26"/>
              </w:rPr>
              <w:t>_______________________</w:t>
            </w:r>
          </w:p>
        </w:tc>
        <w:tc>
          <w:tcPr>
            <w:tcW w:type="dxa" w:w="4821"/>
            <w:tcMar>
              <w:top w:type="dxa" w:w="0"/>
              <w:left w:type="dxa" w:w="108"/>
              <w:bottom w:type="dxa" w:w="0"/>
              <w:right w:type="dxa" w:w="108"/>
            </w:tcMar>
          </w:tcPr>
          <w:p w14:paraId="7D000000">
            <w:pPr>
              <w:pStyle w:val="Style_2"/>
              <w:widowControl w:val="0"/>
              <w:numPr>
                <w:ilvl w:val="0"/>
                <w:numId w:val="0"/>
              </w:numPr>
              <w:spacing w:after="120" w:before="120" w:line="240" w:lineRule="auto"/>
              <w:ind w:firstLine="0" w:left="0" w:right="0"/>
              <w:jc w:val="left"/>
              <w:outlineLvl w:val="1"/>
              <w:rPr>
                <w:rFonts w:ascii="Times New Roman" w:hAnsi="Times New Roman"/>
                <w:b w:val="1"/>
                <w:sz w:val="26"/>
              </w:rPr>
            </w:pPr>
            <w:r>
              <w:rPr>
                <w:b w:val="1"/>
                <w:color w:val="000000"/>
                <w:spacing w:val="0"/>
                <w:sz w:val="26"/>
              </w:rPr>
              <w:t xml:space="preserve">                             </w:t>
            </w:r>
            <w:r>
              <w:rPr>
                <w:b w:val="1"/>
                <w:color w:val="000000"/>
                <w:spacing w:val="0"/>
                <w:sz w:val="26"/>
              </w:rPr>
              <w:t>Покупатель</w:t>
            </w:r>
          </w:p>
          <w:p w14:paraId="7E000000">
            <w:pPr>
              <w:pStyle w:val="Style_2"/>
              <w:widowControl w:val="0"/>
              <w:numPr>
                <w:ilvl w:val="0"/>
                <w:numId w:val="0"/>
              </w:numPr>
              <w:spacing w:after="120" w:before="120" w:line="240" w:lineRule="auto"/>
              <w:ind w:firstLine="0" w:left="0" w:right="0"/>
              <w:jc w:val="left"/>
              <w:outlineLvl w:val="1"/>
              <w:rPr>
                <w:rFonts w:ascii="Times New Roman" w:hAnsi="Times New Roman"/>
                <w:b w:val="1"/>
                <w:sz w:val="26"/>
              </w:rPr>
            </w:pPr>
            <w:r>
              <w:rPr>
                <w:b w:val="1"/>
                <w:color w:val="000000"/>
                <w:spacing w:val="0"/>
                <w:sz w:val="26"/>
              </w:rPr>
              <w:t>_______________________________</w:t>
            </w:r>
          </w:p>
        </w:tc>
      </w:tr>
      <w:tr>
        <w:trPr>
          <w:trHeight w:hRule="atLeast" w:val="699"/>
        </w:trPr>
        <w:tc>
          <w:tcPr>
            <w:tcW w:type="dxa" w:w="4535"/>
            <w:tcMar>
              <w:top w:type="dxa" w:w="0"/>
              <w:left w:type="dxa" w:w="108"/>
              <w:bottom w:type="dxa" w:w="0"/>
              <w:right w:type="dxa" w:w="108"/>
            </w:tcMar>
          </w:tcPr>
          <w:p w14:paraId="7F000000">
            <w:pPr>
              <w:pStyle w:val="Style_2"/>
              <w:widowControl w:val="0"/>
              <w:spacing w:after="0" w:before="0" w:line="240" w:lineRule="auto"/>
              <w:ind w:firstLine="0" w:left="0" w:right="0"/>
              <w:jc w:val="both"/>
              <w:rPr>
                <w:rFonts w:ascii="Times New Roman" w:hAnsi="Times New Roman"/>
                <w:sz w:val="26"/>
              </w:rPr>
            </w:pPr>
          </w:p>
        </w:tc>
        <w:tc>
          <w:tcPr>
            <w:tcW w:type="dxa" w:w="4821"/>
            <w:tcMar>
              <w:top w:type="dxa" w:w="0"/>
              <w:left w:type="dxa" w:w="108"/>
              <w:bottom w:type="dxa" w:w="0"/>
              <w:right w:type="dxa" w:w="108"/>
            </w:tcMar>
          </w:tcPr>
          <w:p w14:paraId="80000000">
            <w:pPr>
              <w:pStyle w:val="Style_2"/>
              <w:widowControl w:val="0"/>
              <w:spacing w:after="0" w:before="0" w:line="240" w:lineRule="auto"/>
              <w:ind w:firstLine="0" w:left="0" w:right="0"/>
              <w:jc w:val="both"/>
              <w:rPr>
                <w:rFonts w:ascii="Times New Roman" w:hAnsi="Times New Roman"/>
                <w:b w:val="1"/>
                <w:sz w:val="26"/>
              </w:rPr>
            </w:pPr>
          </w:p>
        </w:tc>
      </w:tr>
    </w:tbl>
    <w:p w14:paraId="81000000">
      <w:pPr>
        <w:pStyle w:val="Style_2"/>
        <w:widowControl w:val="0"/>
        <w:numPr>
          <w:ilvl w:val="0"/>
          <w:numId w:val="0"/>
        </w:numPr>
        <w:spacing w:after="120" w:before="120"/>
        <w:ind w:firstLine="0" w:left="0"/>
        <w:jc w:val="center"/>
        <w:outlineLvl w:val="1"/>
        <w:rPr>
          <w:rFonts w:ascii="Times New Roman" w:hAnsi="Times New Roman"/>
          <w:b w:val="1"/>
          <w:sz w:val="26"/>
        </w:rPr>
      </w:pPr>
      <w:r>
        <w:rPr>
          <w:b w:val="1"/>
          <w:sz w:val="26"/>
        </w:rPr>
        <w:t>Подписи Сторон</w:t>
      </w:r>
    </w:p>
    <w:p w14:paraId="82000000">
      <w:pPr>
        <w:pStyle w:val="Style_2"/>
        <w:widowControl w:val="0"/>
        <w:ind/>
        <w:jc w:val="center"/>
        <w:rPr>
          <w:rFonts w:ascii="Times New Roman" w:hAnsi="Times New Roman"/>
          <w:b w:val="1"/>
          <w:sz w:val="26"/>
        </w:rPr>
      </w:pPr>
      <w:r>
        <w:rPr>
          <w:b w:val="1"/>
          <w:sz w:val="26"/>
        </w:rPr>
        <w:t>Продавец                                                  Покупатель</w:t>
      </w:r>
    </w:p>
    <w:p w14:paraId="83000000">
      <w:pPr>
        <w:pStyle w:val="Style_2"/>
        <w:widowControl w:val="0"/>
        <w:ind w:hanging="284" w:left="284" w:right="0"/>
        <w:jc w:val="both"/>
        <w:rPr>
          <w:rFonts w:ascii="Times New Roman" w:hAnsi="Times New Roman"/>
          <w:sz w:val="26"/>
        </w:rPr>
      </w:pPr>
    </w:p>
    <w:p w14:paraId="84000000">
      <w:pPr>
        <w:pStyle w:val="Style_2"/>
        <w:widowControl w:val="0"/>
        <w:ind w:hanging="284" w:left="284" w:right="0"/>
        <w:jc w:val="both"/>
        <w:rPr>
          <w:rFonts w:ascii="Times New Roman" w:hAnsi="Times New Roman"/>
          <w:sz w:val="26"/>
        </w:rPr>
      </w:pPr>
    </w:p>
    <w:p w14:paraId="85000000">
      <w:pPr>
        <w:pStyle w:val="Style_2"/>
        <w:widowControl w:val="0"/>
        <w:ind w:hanging="284" w:left="284" w:right="0"/>
        <w:jc w:val="both"/>
        <w:rPr>
          <w:sz w:val="26"/>
        </w:rPr>
      </w:pPr>
      <w:r>
        <w:rPr>
          <w:sz w:val="26"/>
        </w:rPr>
        <w:t>___________ (________________)                              ________</w:t>
      </w:r>
      <w:r>
        <w:rPr>
          <w:sz w:val="26"/>
        </w:rPr>
        <w:t>___ (_______________)</w:t>
      </w:r>
    </w:p>
    <w:sectPr>
      <w:headerReference r:id="rId1" w:type="default"/>
      <w:type w:val="nextPage"/>
      <w:pgSz w:h="16838" w:orient="portrait" w:w="11906"/>
      <w:pgMar w:bottom="1135" w:footer="0" w:gutter="0" w:header="720" w:left="1134" w:right="567" w:top="1134"/>
      <w:pgNumType w:fmt="decimal"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footnote w:id="-1" w:type="separator">
    <w:p>
      <w:r>
        <w:separator/>
      </w:r>
    </w:p>
  </w:footnote>
  <w:footnote w:id="0" w:type="continuationSeparator">
    <w:p>
      <w:r>
        <w:continuationSeparator/>
      </w:r>
    </w:p>
  </w:footnote>
  <w:footnote w:id="1">
    <w:p w14:paraId="86000000">
      <w:pPr>
        <w:pStyle w:val="Style_54"/>
        <w:widowControl w:val="0"/>
        <w:ind/>
        <w:jc w:val="both"/>
      </w:pPr>
      <w:r>
        <w:rPr>
          <w:vertAlign w:val="superscript"/>
        </w:rPr>
        <w:footnoteRef/>
      </w:r>
      <w:r>
        <w:t xml:space="preserve"> </w:t>
      </w:r>
      <w: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87000000">
      <w:pPr>
        <w:pStyle w:val="Style_54"/>
        <w:widowControl w:val="0"/>
        <w:ind/>
        <w:jc w:val="both"/>
      </w:pPr>
      <w:r>
        <w:t xml:space="preserve"> </w:t>
      </w:r>
      <w: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left" w:y="1"/>
    </w:pPr>
    <w:r>
      <w:fldChar w:fldCharType="begin"/>
    </w:r>
    <w:r>
      <w:instrText xml:space="preserve">PAGE </w:instrText>
    </w:r>
    <w:r>
      <w:fldChar w:fldCharType="separate"/>
    </w:r>
    <w:r>
      <w:fldChar w:fldCharType="end"/>
    </w:r>
  </w:p>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wp:anchor allowOverlap="true" behindDoc="true" distB="635" distL="0" distR="0" distT="0" layoutInCell="true" locked="false" relativeHeight="251658240" simplePos="false">
              <wp:simplePos x="0" y="0"/>
              <wp:positionH relativeFrom="margin">
                <wp:align>center</wp:align>
              </wp:positionH>
              <wp:positionV relativeFrom="paragraph">
                <wp:posOffset>635</wp:posOffset>
              </wp:positionV>
              <wp:extent cx="152400" cy="173990"/>
              <wp:wrapSquare distB="635" distL="0" distR="0" distT="0" wrapText="bothSides"/>
              <wp:docPr hidden="false" id="1" name="Picture 1"/>
              <a:graphic>
                <a:graphicData uri="http://schemas.microsoft.com/office/word/2010/wordprocessingShape">
                  <wps:wsp>
                    <wps:cNvSpPr txBox="false"/>
                    <wps:spPr>
                      <a:xfrm flipH="false" flipV="false" rot="0">
                        <a:off x="0" y="0"/>
                        <a:ext cx="152400" cy="173990"/>
                      </a:xfrm>
                      <a:prstGeom prst="rect">
                        <a:avLst/>
                      </a:prstGeom>
                      <a:noFill/>
                      <a:ln w="0">
                        <a:noFill/>
                      </a:ln>
                    </wps:spPr>
                    <wps:txbx>
                      <w:txbxContent>
                        <w:p w14:paraId="02000000">
                          <w:pPr>
                            <w:pStyle w:val="Style_2"/>
                            <w:rPr>
                              <w:rFonts w:ascii="Times New Roman" w:hAnsi="Times New Roman"/>
                              <w:color w:val="000000"/>
                              <w:spacing w:val="0"/>
                              <w:sz w:val="20"/>
                            </w:rPr>
                          </w:pPr>
                        </w:p>
                      </w:txbxContent>
                    </wps:txbx>
                    <wps:bodyPr anchor="t" bIns="0" lIns="0" rIns="0" tIns="0">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33"/>
      <w:lvlText w:val="%1."/>
      <w:lvlJc w:val="left"/>
      <w:pPr>
        <w:tabs>
          <w:tab w:leader="none" w:pos="720" w:val="left"/>
        </w:tabs>
        <w:ind w:firstLine="0" w:left="0"/>
      </w:pPr>
      <w:rPr>
        <w:spacing w:val="0"/>
      </w:rPr>
    </w:lvl>
    <w:lvl w:ilvl="1">
      <w:start w:val="1"/>
      <w:numFmt w:val="decimal"/>
      <w:lvlText w:val=""/>
      <w:lvlJc w:val="left"/>
      <w:pPr>
        <w:tabs>
          <w:tab w:leader="none" w:pos="0" w:val="left"/>
        </w:tabs>
        <w:ind w:firstLine="0" w:left="0"/>
      </w:pPr>
    </w:lvl>
    <w:lvl w:ilvl="2">
      <w:start w:val="1"/>
      <w:numFmt w:val="decimal"/>
      <w:lvlText w:val=""/>
      <w:lvlJc w:val="left"/>
      <w:pPr>
        <w:tabs>
          <w:tab w:leader="none" w:pos="0" w:val="left"/>
        </w:tabs>
        <w:ind w:firstLine="0" w:left="0"/>
      </w:pPr>
    </w:lvl>
    <w:lvl w:ilvl="3">
      <w:start w:val="1"/>
      <w:numFmt w:val="decimal"/>
      <w:lvlText w:val=""/>
      <w:lvlJc w:val="left"/>
      <w:pPr>
        <w:tabs>
          <w:tab w:leader="none" w:pos="0" w:val="left"/>
        </w:tabs>
        <w:ind w:firstLine="0" w:left="0"/>
      </w:pPr>
    </w:lvl>
    <w:lvl w:ilvl="4">
      <w:start w:val="1"/>
      <w:numFmt w:val="decimal"/>
      <w:lvlText w:val=""/>
      <w:lvlJc w:val="left"/>
      <w:pPr>
        <w:tabs>
          <w:tab w:leader="none" w:pos="0" w:val="left"/>
        </w:tabs>
        <w:ind w:firstLine="0" w:left="0"/>
      </w:pPr>
    </w:lvl>
    <w:lvl w:ilvl="5">
      <w:start w:val="1"/>
      <w:numFmt w:val="decimal"/>
      <w:lvlText w:val=""/>
      <w:lvlJc w:val="left"/>
      <w:pPr>
        <w:tabs>
          <w:tab w:leader="none" w:pos="0" w:val="left"/>
        </w:tabs>
        <w:ind w:firstLine="0" w:left="0"/>
      </w:pPr>
    </w:lvl>
    <w:lvl w:ilvl="6">
      <w:start w:val="1"/>
      <w:numFmt w:val="decimal"/>
      <w:lvlText w:val=""/>
      <w:lvlJc w:val="left"/>
      <w:pPr>
        <w:tabs>
          <w:tab w:leader="none" w:pos="0" w:val="left"/>
        </w:tabs>
        <w:ind w:firstLine="0" w:left="0"/>
      </w:pPr>
    </w:lvl>
    <w:lvl w:ilvl="7">
      <w:start w:val="1"/>
      <w:numFmt w:val="decimal"/>
      <w:lvlText w:val=""/>
      <w:lvlJc w:val="left"/>
      <w:pPr>
        <w:tabs>
          <w:tab w:leader="none" w:pos="0" w:val="left"/>
        </w:tabs>
        <w:ind w:firstLine="0" w:left="0"/>
      </w:pPr>
    </w:lvl>
    <w:lvl w:ilvl="8">
      <w:start w:val="1"/>
      <w:numFmt w:val="decimal"/>
      <w:lvlText w:val=""/>
      <w:lvlJc w:val="left"/>
      <w:pPr>
        <w:tabs>
          <w:tab w:leader="none" w:pos="0" w:val="left"/>
        </w:tabs>
        <w:ind w:firstLine="0" w:left="0"/>
      </w:pPr>
    </w:lvl>
  </w:abstractNum>
  <w:abstractNum w:abstractNumId="1">
    <w:lvl w:ilvl="0">
      <w:start w:val="3"/>
      <w:numFmt w:val="upperRoman"/>
      <w:pStyle w:val="Style_72"/>
      <w:lvlText w:val="%1."/>
      <w:lvlJc w:val="left"/>
      <w:pPr>
        <w:tabs>
          <w:tab w:leader="none" w:pos="0" w:val="left"/>
        </w:tabs>
        <w:ind w:hanging="360" w:left="720"/>
      </w:pPr>
    </w:lvl>
    <w:lvl w:ilvl="1">
      <w:start w:val="1"/>
      <w:numFmt w:val="lowerLetter"/>
      <w:lvlText w:val="%2."/>
      <w:lvlJc w:val="left"/>
      <w:pPr>
        <w:tabs>
          <w:tab w:leader="none" w:pos="0" w:val="left"/>
        </w:tabs>
        <w:ind w:hanging="360" w:left="1440"/>
      </w:pPr>
    </w:lvl>
    <w:lvl w:ilvl="2">
      <w:start w:val="1"/>
      <w:numFmt w:val="lowerRoman"/>
      <w:lvlText w:val="%3."/>
      <w:lvlJc w:val="right"/>
      <w:pPr>
        <w:tabs>
          <w:tab w:leader="none" w:pos="0" w:val="left"/>
        </w:tabs>
        <w:ind w:hanging="180" w:left="2160"/>
      </w:pPr>
    </w:lvl>
    <w:lvl w:ilvl="3">
      <w:start w:val="1"/>
      <w:numFmt w:val="decimal"/>
      <w:lvlText w:val="%4."/>
      <w:lvlJc w:val="left"/>
      <w:pPr>
        <w:tabs>
          <w:tab w:leader="none" w:pos="0" w:val="left"/>
        </w:tabs>
        <w:ind w:hanging="360" w:left="2880"/>
      </w:pPr>
    </w:lvl>
    <w:lvl w:ilvl="4">
      <w:start w:val="1"/>
      <w:numFmt w:val="lowerLetter"/>
      <w:lvlText w:val="%5."/>
      <w:lvlJc w:val="left"/>
      <w:pPr>
        <w:tabs>
          <w:tab w:leader="none" w:pos="0" w:val="left"/>
        </w:tabs>
        <w:ind w:hanging="360" w:left="3600"/>
      </w:pPr>
    </w:lvl>
    <w:lvl w:ilvl="5">
      <w:start w:val="1"/>
      <w:numFmt w:val="lowerRoman"/>
      <w:lvlText w:val="%6."/>
      <w:lvlJc w:val="right"/>
      <w:pPr>
        <w:tabs>
          <w:tab w:leader="none" w:pos="0" w:val="left"/>
        </w:tabs>
        <w:ind w:hanging="180" w:left="4320"/>
      </w:pPr>
    </w:lvl>
    <w:lvl w:ilvl="6">
      <w:start w:val="1"/>
      <w:numFmt w:val="decimal"/>
      <w:lvlText w:val="%7."/>
      <w:lvlJc w:val="left"/>
      <w:pPr>
        <w:tabs>
          <w:tab w:leader="none" w:pos="0" w:val="left"/>
        </w:tabs>
        <w:ind w:hanging="360" w:left="5040"/>
      </w:pPr>
    </w:lvl>
    <w:lvl w:ilvl="7">
      <w:start w:val="1"/>
      <w:numFmt w:val="lowerLetter"/>
      <w:lvlText w:val="%8."/>
      <w:lvlJc w:val="left"/>
      <w:pPr>
        <w:tabs>
          <w:tab w:leader="none" w:pos="0" w:val="left"/>
        </w:tabs>
        <w:ind w:hanging="360" w:left="5760"/>
      </w:pPr>
    </w:lvl>
    <w:lvl w:ilvl="8">
      <w:start w:val="1"/>
      <w:numFmt w:val="lowerRoman"/>
      <w:lvlText w:val="%9."/>
      <w:lvlJc w:val="right"/>
      <w:pPr>
        <w:tabs>
          <w:tab w:leader="none" w:pos="0" w:val="left"/>
        </w:tabs>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before="0" w:line="240" w:lineRule="auto"/>
      <w:ind w:firstLine="0" w:left="0" w:right="0"/>
      <w:jc w:val="left"/>
    </w:pPr>
    <w:rPr>
      <w:rFonts w:ascii="Times New Roman" w:hAnsi="Times New Roman"/>
      <w:color w:val="000000"/>
      <w:spacing w:val="0"/>
      <w:sz w:val="20"/>
    </w:rPr>
  </w:style>
  <w:style w:default="1" w:styleId="Style_2_ch" w:type="character">
    <w:name w:val="Normal"/>
    <w:link w:val="Style_2"/>
    <w:rPr>
      <w:rFonts w:ascii="Times New Roman" w:hAnsi="Times New Roman"/>
      <w:color w:val="000000"/>
      <w:spacing w:val="0"/>
      <w:sz w:val="20"/>
    </w:rPr>
  </w:style>
  <w:style w:styleId="Style_5" w:type="paragraph">
    <w:name w:val="toc 2"/>
    <w:next w:val="Style_2"/>
    <w:link w:val="Style_5_ch"/>
    <w:uiPriority w:val="39"/>
    <w:pPr>
      <w:widowControl w:val="0"/>
      <w:spacing w:after="0" w:before="0" w:line="240" w:lineRule="auto"/>
      <w:ind w:firstLine="0" w:left="200" w:right="0"/>
      <w:jc w:val="left"/>
    </w:pPr>
    <w:rPr>
      <w:rFonts w:ascii="XO Thames" w:hAnsi="XO Thames"/>
      <w:color w:val="000000"/>
      <w:spacing w:val="0"/>
      <w:sz w:val="28"/>
    </w:rPr>
  </w:style>
  <w:style w:styleId="Style_5_ch" w:type="character">
    <w:name w:val="toc 2"/>
    <w:link w:val="Style_5"/>
    <w:rPr>
      <w:rFonts w:ascii="XO Thames" w:hAnsi="XO Thames"/>
      <w:color w:val="000000"/>
      <w:spacing w:val="0"/>
      <w:sz w:val="28"/>
    </w:rPr>
  </w:style>
  <w:style w:styleId="Style_6" w:type="paragraph">
    <w:name w:val="Default Paragraph Font1"/>
    <w:link w:val="Style_6_ch"/>
    <w:pPr>
      <w:widowControl w:val="0"/>
      <w:spacing w:after="0" w:before="0" w:line="240" w:lineRule="auto"/>
      <w:ind w:firstLine="0" w:left="0" w:right="0"/>
      <w:jc w:val="left"/>
    </w:pPr>
    <w:rPr>
      <w:rFonts w:ascii="Times New Roman" w:hAnsi="Times New Roman"/>
      <w:color w:val="000000"/>
      <w:spacing w:val="0"/>
      <w:sz w:val="20"/>
    </w:rPr>
  </w:style>
  <w:style w:styleId="Style_6_ch" w:type="character">
    <w:name w:val="Default Paragraph Font1"/>
    <w:link w:val="Style_6"/>
    <w:rPr>
      <w:rFonts w:ascii="Times New Roman" w:hAnsi="Times New Roman"/>
      <w:color w:val="000000"/>
      <w:spacing w:val="0"/>
      <w:sz w:val="20"/>
    </w:rPr>
  </w:style>
  <w:style w:styleId="Style_7" w:type="paragraph">
    <w:name w:val="Caption"/>
    <w:basedOn w:val="Style_2"/>
    <w:link w:val="Style_7_ch"/>
    <w:pPr>
      <w:spacing w:after="120" w:before="120"/>
      <w:ind/>
    </w:pPr>
    <w:rPr>
      <w:i w:val="1"/>
      <w:sz w:val="24"/>
    </w:rPr>
  </w:style>
  <w:style w:styleId="Style_7_ch" w:type="character">
    <w:name w:val="Caption"/>
    <w:basedOn w:val="Style_2_ch"/>
    <w:link w:val="Style_7"/>
    <w:rPr>
      <w:i w:val="1"/>
      <w:sz w:val="24"/>
    </w:rPr>
  </w:style>
  <w:style w:styleId="Style_8" w:type="paragraph">
    <w:name w:val="Contents 8"/>
    <w:link w:val="Style_8_ch"/>
    <w:rPr>
      <w:rFonts w:ascii="XO Thames" w:hAnsi="XO Thames"/>
      <w:sz w:val="28"/>
    </w:rPr>
  </w:style>
  <w:style w:styleId="Style_8_ch" w:type="character">
    <w:name w:val="Contents 8"/>
    <w:link w:val="Style_8"/>
    <w:rPr>
      <w:rFonts w:ascii="XO Thames" w:hAnsi="XO Thames"/>
      <w:sz w:val="28"/>
    </w:rPr>
  </w:style>
  <w:style w:styleId="Style_9" w:type="paragraph">
    <w:name w:val="toc 4"/>
    <w:next w:val="Style_2"/>
    <w:link w:val="Style_9_ch"/>
    <w:uiPriority w:val="39"/>
    <w:pPr>
      <w:widowControl w:val="0"/>
      <w:spacing w:after="0" w:before="0" w:line="240" w:lineRule="auto"/>
      <w:ind w:firstLine="0" w:left="600" w:right="0"/>
      <w:jc w:val="left"/>
    </w:pPr>
    <w:rPr>
      <w:rFonts w:ascii="XO Thames" w:hAnsi="XO Thames"/>
      <w:color w:val="000000"/>
      <w:spacing w:val="0"/>
      <w:sz w:val="28"/>
    </w:rPr>
  </w:style>
  <w:style w:styleId="Style_9_ch" w:type="character">
    <w:name w:val="toc 4"/>
    <w:link w:val="Style_9"/>
    <w:rPr>
      <w:rFonts w:ascii="XO Thames" w:hAnsi="XO Thames"/>
      <w:color w:val="000000"/>
      <w:spacing w:val="0"/>
      <w:sz w:val="28"/>
    </w:rPr>
  </w:style>
  <w:style w:styleId="Style_10" w:type="paragraph">
    <w:name w:val="Endnote Reference"/>
    <w:link w:val="Style_10_ch"/>
    <w:rPr>
      <w:vertAlign w:val="superscript"/>
    </w:rPr>
  </w:style>
  <w:style w:styleId="Style_10_ch" w:type="character">
    <w:name w:val="Endnote Reference"/>
    <w:link w:val="Style_10"/>
    <w:rPr>
      <w:vertAlign w:val="superscript"/>
    </w:rPr>
  </w:style>
  <w:style w:styleId="Style_11" w:type="paragraph">
    <w:name w:val="toc 6"/>
    <w:next w:val="Style_2"/>
    <w:link w:val="Style_11_ch"/>
    <w:uiPriority w:val="39"/>
    <w:pPr>
      <w:widowControl w:val="0"/>
      <w:spacing w:after="0" w:before="0" w:line="240" w:lineRule="auto"/>
      <w:ind w:firstLine="0" w:left="1000" w:right="0"/>
      <w:jc w:val="left"/>
    </w:pPr>
    <w:rPr>
      <w:rFonts w:ascii="XO Thames" w:hAnsi="XO Thames"/>
      <w:color w:val="000000"/>
      <w:spacing w:val="0"/>
      <w:sz w:val="28"/>
    </w:rPr>
  </w:style>
  <w:style w:styleId="Style_11_ch" w:type="character">
    <w:name w:val="toc 6"/>
    <w:link w:val="Style_11"/>
    <w:rPr>
      <w:rFonts w:ascii="XO Thames" w:hAnsi="XO Thames"/>
      <w:color w:val="000000"/>
      <w:spacing w:val="0"/>
      <w:sz w:val="28"/>
    </w:rPr>
  </w:style>
  <w:style w:styleId="Style_12" w:type="paragraph">
    <w:name w:val="Указатель"/>
    <w:basedOn w:val="Style_2"/>
    <w:link w:val="Style_12_ch"/>
  </w:style>
  <w:style w:styleId="Style_12_ch" w:type="character">
    <w:name w:val="Указатель"/>
    <w:basedOn w:val="Style_2_ch"/>
    <w:link w:val="Style_12"/>
  </w:style>
  <w:style w:styleId="Style_13" w:type="paragraph">
    <w:name w:val="page number1"/>
    <w:basedOn w:val="Style_6"/>
    <w:link w:val="Style_13_ch"/>
  </w:style>
  <w:style w:styleId="Style_13_ch" w:type="character">
    <w:name w:val="page number1"/>
    <w:basedOn w:val="Style_6_ch"/>
    <w:link w:val="Style_13"/>
  </w:style>
  <w:style w:styleId="Style_14" w:type="paragraph">
    <w:name w:val="toc 7"/>
    <w:next w:val="Style_2"/>
    <w:link w:val="Style_14_ch"/>
    <w:uiPriority w:val="39"/>
    <w:pPr>
      <w:widowControl w:val="0"/>
      <w:spacing w:after="0" w:before="0" w:line="240" w:lineRule="auto"/>
      <w:ind w:firstLine="0" w:left="1200" w:right="0"/>
      <w:jc w:val="left"/>
    </w:pPr>
    <w:rPr>
      <w:rFonts w:ascii="XO Thames" w:hAnsi="XO Thames"/>
      <w:color w:val="000000"/>
      <w:spacing w:val="0"/>
      <w:sz w:val="28"/>
    </w:rPr>
  </w:style>
  <w:style w:styleId="Style_14_ch" w:type="character">
    <w:name w:val="toc 7"/>
    <w:link w:val="Style_14"/>
    <w:rPr>
      <w:rFonts w:ascii="XO Thames" w:hAnsi="XO Thames"/>
      <w:color w:val="000000"/>
      <w:spacing w:val="0"/>
      <w:sz w:val="28"/>
    </w:rPr>
  </w:style>
  <w:style w:styleId="Style_15" w:type="paragraph">
    <w:name w:val="annotation text1"/>
    <w:basedOn w:val="Style_2"/>
    <w:link w:val="Style_15_ch"/>
  </w:style>
  <w:style w:styleId="Style_15_ch" w:type="character">
    <w:name w:val="annotation text1"/>
    <w:basedOn w:val="Style_2_ch"/>
    <w:link w:val="Style_15"/>
  </w:style>
  <w:style w:styleId="Style_16" w:type="paragraph">
    <w:name w:val="Heading 51"/>
    <w:link w:val="Style_16_ch"/>
    <w:rPr>
      <w:rFonts w:ascii="XO Thames" w:hAnsi="XO Thames"/>
      <w:b w:val="1"/>
      <w:sz w:val="22"/>
    </w:rPr>
  </w:style>
  <w:style w:styleId="Style_16_ch" w:type="character">
    <w:name w:val="Heading 51"/>
    <w:link w:val="Style_16"/>
    <w:rPr>
      <w:rFonts w:ascii="XO Thames" w:hAnsi="XO Thames"/>
      <w:b w:val="1"/>
      <w:sz w:val="22"/>
    </w:rPr>
  </w:style>
  <w:style w:styleId="Style_17" w:type="paragraph">
    <w:name w:val="heading 3"/>
    <w:basedOn w:val="Style_2"/>
    <w:next w:val="Style_2"/>
    <w:link w:val="Style_17_ch"/>
    <w:uiPriority w:val="9"/>
    <w:qFormat/>
    <w:pPr>
      <w:keepNext w:val="1"/>
      <w:keepLines w:val="1"/>
      <w:widowControl w:val="0"/>
      <w:spacing w:after="0" w:before="200"/>
      <w:ind/>
      <w:outlineLvl w:val="2"/>
    </w:pPr>
    <w:rPr>
      <w:rFonts w:asciiTheme="majorAscii" w:hAnsiTheme="majorHAnsi"/>
      <w:b w:val="1"/>
      <w:color w:themeColor="accent1" w:val="4F81BD"/>
    </w:rPr>
  </w:style>
  <w:style w:styleId="Style_17_ch" w:type="character">
    <w:name w:val="heading 3"/>
    <w:basedOn w:val="Style_2_ch"/>
    <w:link w:val="Style_17"/>
    <w:rPr>
      <w:rFonts w:asciiTheme="majorAscii" w:hAnsiTheme="majorHAnsi"/>
      <w:b w:val="1"/>
      <w:color w:themeColor="accent1" w:val="4F81BD"/>
    </w:rPr>
  </w:style>
  <w:style w:styleId="Style_18" w:type="paragraph">
    <w:name w:val="Contents 2"/>
    <w:link w:val="Style_18_ch"/>
    <w:rPr>
      <w:rFonts w:ascii="XO Thames" w:hAnsi="XO Thames"/>
      <w:sz w:val="28"/>
    </w:rPr>
  </w:style>
  <w:style w:styleId="Style_18_ch" w:type="character">
    <w:name w:val="Contents 2"/>
    <w:link w:val="Style_18"/>
    <w:rPr>
      <w:rFonts w:ascii="XO Thames" w:hAnsi="XO Thames"/>
      <w:sz w:val="28"/>
    </w:rPr>
  </w:style>
  <w:style w:styleId="Style_19" w:type="paragraph">
    <w:name w:val="Contents 7"/>
    <w:link w:val="Style_19_ch"/>
    <w:rPr>
      <w:rFonts w:ascii="XO Thames" w:hAnsi="XO Thames"/>
      <w:sz w:val="28"/>
    </w:rPr>
  </w:style>
  <w:style w:styleId="Style_19_ch" w:type="character">
    <w:name w:val="Contents 7"/>
    <w:link w:val="Style_19"/>
    <w:rPr>
      <w:rFonts w:ascii="XO Thames" w:hAnsi="XO Thames"/>
      <w:sz w:val="28"/>
    </w:rPr>
  </w:style>
  <w:style w:styleId="Style_20" w:type="paragraph">
    <w:name w:val="Содержимое врезки"/>
    <w:basedOn w:val="Style_2"/>
    <w:link w:val="Style_20_ch"/>
  </w:style>
  <w:style w:styleId="Style_20_ch" w:type="character">
    <w:name w:val="Содержимое врезки"/>
    <w:basedOn w:val="Style_2_ch"/>
    <w:link w:val="Style_20"/>
  </w:style>
  <w:style w:styleId="Style_21" w:type="paragraph">
    <w:name w:val="Знак1"/>
    <w:basedOn w:val="Style_2"/>
    <w:link w:val="Style_21_ch"/>
    <w:pPr>
      <w:widowControl w:val="0"/>
      <w:spacing w:after="160" w:before="0" w:line="240" w:lineRule="exact"/>
      <w:ind/>
    </w:pPr>
    <w:rPr>
      <w:sz w:val="24"/>
    </w:rPr>
  </w:style>
  <w:style w:styleId="Style_21_ch" w:type="character">
    <w:name w:val="Знак1"/>
    <w:basedOn w:val="Style_2_ch"/>
    <w:link w:val="Style_21"/>
    <w:rPr>
      <w:sz w:val="24"/>
    </w:rPr>
  </w:style>
  <w:style w:styleId="Style_22" w:type="paragraph">
    <w:name w:val="Text body"/>
    <w:link w:val="Style_22_ch"/>
    <w:rPr>
      <w:sz w:val="24"/>
    </w:rPr>
  </w:style>
  <w:style w:styleId="Style_22_ch" w:type="character">
    <w:name w:val="Text body"/>
    <w:link w:val="Style_22"/>
    <w:rPr>
      <w:sz w:val="24"/>
    </w:rPr>
  </w:style>
  <w:style w:styleId="Style_23" w:type="paragraph">
    <w:name w:val="Символ сноски"/>
    <w:link w:val="Style_23_ch"/>
    <w:rPr>
      <w:vertAlign w:val="superscript"/>
    </w:rPr>
  </w:style>
  <w:style w:styleId="Style_23_ch" w:type="character">
    <w:name w:val="Символ сноски"/>
    <w:link w:val="Style_23"/>
    <w:rPr>
      <w:vertAlign w:val="superscript"/>
    </w:rPr>
  </w:style>
  <w:style w:styleId="Style_24" w:type="paragraph">
    <w:name w:val="Колонтитул"/>
    <w:link w:val="Style_24_ch"/>
    <w:pPr>
      <w:widowControl w:val="0"/>
      <w:spacing w:after="0" w:before="0" w:line="240" w:lineRule="auto"/>
      <w:ind w:firstLine="0" w:left="0" w:right="0"/>
      <w:jc w:val="both"/>
    </w:pPr>
    <w:rPr>
      <w:rFonts w:ascii="XO Thames" w:hAnsi="XO Thames"/>
      <w:color w:val="000000"/>
      <w:spacing w:val="0"/>
      <w:sz w:val="20"/>
    </w:rPr>
  </w:style>
  <w:style w:styleId="Style_24_ch" w:type="character">
    <w:name w:val="Колонтитул"/>
    <w:link w:val="Style_24"/>
    <w:rPr>
      <w:rFonts w:ascii="XO Thames" w:hAnsi="XO Thames"/>
      <w:color w:val="000000"/>
      <w:spacing w:val="0"/>
      <w:sz w:val="20"/>
    </w:rPr>
  </w:style>
  <w:style w:styleId="Style_3" w:type="paragraph">
    <w:name w:val="Footnote Reference"/>
    <w:link w:val="Style_3_ch"/>
    <w:rPr>
      <w:vertAlign w:val="superscript"/>
    </w:rPr>
  </w:style>
  <w:style w:styleId="Style_3_ch" w:type="character">
    <w:name w:val="Footnote Reference"/>
    <w:link w:val="Style_3"/>
    <w:rPr>
      <w:vertAlign w:val="superscript"/>
    </w:rPr>
  </w:style>
  <w:style w:styleId="Style_25" w:type="paragraph">
    <w:name w:val="Title1"/>
    <w:link w:val="Style_25_ch"/>
    <w:rPr>
      <w:sz w:val="24"/>
    </w:rPr>
  </w:style>
  <w:style w:styleId="Style_25_ch" w:type="character">
    <w:name w:val="Title1"/>
    <w:link w:val="Style_25"/>
    <w:rPr>
      <w:sz w:val="24"/>
    </w:rPr>
  </w:style>
  <w:style w:styleId="Style_26" w:type="paragraph">
    <w:name w:val="Heading 31"/>
    <w:link w:val="Style_26_ch"/>
    <w:rPr>
      <w:rFonts w:asciiTheme="majorAscii" w:hAnsiTheme="majorHAnsi"/>
      <w:b w:val="1"/>
      <w:color w:themeColor="accent1" w:val="4F81BD"/>
    </w:rPr>
  </w:style>
  <w:style w:styleId="Style_26_ch" w:type="character">
    <w:name w:val="Heading 31"/>
    <w:link w:val="Style_26"/>
    <w:rPr>
      <w:rFonts w:asciiTheme="majorAscii" w:hAnsiTheme="majorHAnsi"/>
      <w:b w:val="1"/>
      <w:color w:themeColor="accent1" w:val="4F81BD"/>
    </w:rPr>
  </w:style>
  <w:style w:styleId="Style_27" w:type="paragraph">
    <w:name w:val="toc 3"/>
    <w:next w:val="Style_2"/>
    <w:link w:val="Style_27_ch"/>
    <w:uiPriority w:val="39"/>
    <w:pPr>
      <w:widowControl w:val="0"/>
      <w:spacing w:after="0" w:before="0" w:line="240" w:lineRule="auto"/>
      <w:ind w:firstLine="0" w:left="400" w:right="0"/>
      <w:jc w:val="left"/>
    </w:pPr>
    <w:rPr>
      <w:rFonts w:ascii="XO Thames" w:hAnsi="XO Thames"/>
      <w:color w:val="000000"/>
      <w:spacing w:val="0"/>
      <w:sz w:val="28"/>
    </w:rPr>
  </w:style>
  <w:style w:styleId="Style_27_ch" w:type="character">
    <w:name w:val="toc 3"/>
    <w:link w:val="Style_27"/>
    <w:rPr>
      <w:rFonts w:ascii="XO Thames" w:hAnsi="XO Thames"/>
      <w:color w:val="000000"/>
      <w:spacing w:val="0"/>
      <w:sz w:val="28"/>
    </w:rPr>
  </w:style>
  <w:style w:styleId="Style_28" w:type="paragraph">
    <w:name w:val="Heading 21"/>
    <w:link w:val="Style_28_ch"/>
    <w:rPr>
      <w:b w:val="1"/>
      <w:sz w:val="28"/>
    </w:rPr>
  </w:style>
  <w:style w:styleId="Style_28_ch" w:type="character">
    <w:name w:val="Heading 21"/>
    <w:link w:val="Style_28"/>
    <w:rPr>
      <w:b w:val="1"/>
      <w:sz w:val="28"/>
    </w:rPr>
  </w:style>
  <w:style w:styleId="Style_29" w:type="paragraph">
    <w:name w:val="Знак Знак Знак1"/>
    <w:basedOn w:val="Style_2"/>
    <w:link w:val="Style_29_ch"/>
    <w:pPr>
      <w:widowControl w:val="0"/>
      <w:spacing w:after="160" w:before="0" w:line="240" w:lineRule="exact"/>
      <w:ind/>
    </w:pPr>
    <w:rPr>
      <w:sz w:val="24"/>
    </w:rPr>
  </w:style>
  <w:style w:styleId="Style_29_ch" w:type="character">
    <w:name w:val="Знак Знак Знак1"/>
    <w:basedOn w:val="Style_2_ch"/>
    <w:link w:val="Style_29"/>
    <w:rPr>
      <w:sz w:val="24"/>
    </w:rPr>
  </w:style>
  <w:style w:styleId="Style_30" w:type="paragraph">
    <w:name w:val="heading 5"/>
    <w:next w:val="Style_2"/>
    <w:link w:val="Style_30_ch"/>
    <w:uiPriority w:val="9"/>
    <w:qFormat/>
    <w:pPr>
      <w:widowControl w:val="0"/>
      <w:spacing w:after="120" w:before="120" w:line="240" w:lineRule="auto"/>
      <w:ind w:firstLine="0" w:left="0" w:right="0"/>
      <w:jc w:val="both"/>
      <w:outlineLvl w:val="4"/>
    </w:pPr>
    <w:rPr>
      <w:rFonts w:ascii="XO Thames" w:hAnsi="XO Thames"/>
      <w:b w:val="1"/>
      <w:color w:val="000000"/>
      <w:spacing w:val="0"/>
      <w:sz w:val="22"/>
    </w:rPr>
  </w:style>
  <w:style w:styleId="Style_30_ch" w:type="character">
    <w:name w:val="heading 5"/>
    <w:link w:val="Style_30"/>
    <w:rPr>
      <w:rFonts w:ascii="XO Thames" w:hAnsi="XO Thames"/>
      <w:b w:val="1"/>
      <w:color w:val="000000"/>
      <w:spacing w:val="0"/>
      <w:sz w:val="22"/>
    </w:rPr>
  </w:style>
  <w:style w:styleId="Style_31" w:type="paragraph">
    <w:name w:val="Contents 5"/>
    <w:link w:val="Style_31_ch"/>
    <w:rPr>
      <w:rFonts w:ascii="XO Thames" w:hAnsi="XO Thames"/>
      <w:sz w:val="28"/>
    </w:rPr>
  </w:style>
  <w:style w:styleId="Style_31_ch" w:type="character">
    <w:name w:val="Contents 5"/>
    <w:link w:val="Style_31"/>
    <w:rPr>
      <w:rFonts w:ascii="XO Thames" w:hAnsi="XO Thames"/>
      <w:sz w:val="28"/>
    </w:rPr>
  </w:style>
  <w:style w:styleId="Style_32" w:type="paragraph">
    <w:name w:val="Balloon Text1"/>
    <w:basedOn w:val="Style_2"/>
    <w:link w:val="Style_32_ch"/>
    <w:rPr>
      <w:rFonts w:ascii="Tahoma" w:hAnsi="Tahoma"/>
      <w:sz w:val="16"/>
    </w:rPr>
  </w:style>
  <w:style w:styleId="Style_32_ch" w:type="character">
    <w:name w:val="Balloon Text1"/>
    <w:basedOn w:val="Style_2_ch"/>
    <w:link w:val="Style_32"/>
    <w:rPr>
      <w:rFonts w:ascii="Tahoma" w:hAnsi="Tahoma"/>
      <w:sz w:val="16"/>
    </w:rPr>
  </w:style>
  <w:style w:styleId="Style_33" w:type="paragraph">
    <w:name w:val="heading 1"/>
    <w:basedOn w:val="Style_2"/>
    <w:next w:val="Style_2"/>
    <w:link w:val="Style_33_ch"/>
    <w:uiPriority w:val="9"/>
    <w:qFormat/>
    <w:pPr>
      <w:keepNext w:val="1"/>
      <w:widowControl w:val="0"/>
      <w:numPr>
        <w:ilvl w:val="0"/>
        <w:numId w:val="1"/>
      </w:numPr>
      <w:spacing w:line="264" w:lineRule="auto"/>
      <w:ind/>
      <w:jc w:val="center"/>
      <w:outlineLvl w:val="0"/>
    </w:pPr>
    <w:rPr>
      <w:b w:val="1"/>
      <w:sz w:val="28"/>
    </w:rPr>
  </w:style>
  <w:style w:styleId="Style_33_ch" w:type="character">
    <w:name w:val="heading 1"/>
    <w:basedOn w:val="Style_2_ch"/>
    <w:link w:val="Style_33"/>
    <w:rPr>
      <w:b w:val="1"/>
      <w:sz w:val="28"/>
    </w:rPr>
  </w:style>
  <w:style w:styleId="Style_34" w:type="paragraph">
    <w:name w:val="Font Style131"/>
    <w:basedOn w:val="Style_6"/>
    <w:link w:val="Style_34_ch"/>
    <w:rPr>
      <w:rFonts w:ascii="Times New Roman" w:hAnsi="Times New Roman"/>
    </w:rPr>
  </w:style>
  <w:style w:styleId="Style_34_ch" w:type="character">
    <w:name w:val="Font Style131"/>
    <w:basedOn w:val="Style_6_ch"/>
    <w:link w:val="Style_34"/>
    <w:rPr>
      <w:rFonts w:ascii="Times New Roman" w:hAnsi="Times New Roman"/>
    </w:rPr>
  </w:style>
  <w:style w:styleId="Style_35" w:type="paragraph">
    <w:name w:val="Heading 41"/>
    <w:link w:val="Style_35_ch"/>
    <w:rPr>
      <w:rFonts w:asciiTheme="majorAscii" w:hAnsiTheme="majorHAnsi"/>
      <w:b w:val="1"/>
      <w:i w:val="1"/>
      <w:color w:themeColor="accent1" w:val="4F81BD"/>
    </w:rPr>
  </w:style>
  <w:style w:styleId="Style_35_ch" w:type="character">
    <w:name w:val="Heading 41"/>
    <w:link w:val="Style_35"/>
    <w:rPr>
      <w:rFonts w:asciiTheme="majorAscii" w:hAnsiTheme="majorHAnsi"/>
      <w:b w:val="1"/>
      <w:i w:val="1"/>
      <w:color w:themeColor="accent1" w:val="4F81BD"/>
    </w:rPr>
  </w:style>
  <w:style w:styleId="Style_36" w:type="paragraph">
    <w:name w:val="Hyperlink"/>
    <w:link w:val="Style_36_ch"/>
    <w:rPr>
      <w:color w:val="0000FF"/>
      <w:u w:val="single"/>
    </w:rPr>
  </w:style>
  <w:style w:styleId="Style_36_ch" w:type="character">
    <w:name w:val="Hyperlink"/>
    <w:link w:val="Style_36"/>
    <w:rPr>
      <w:color w:val="0000FF"/>
      <w:u w:val="single"/>
    </w:rPr>
  </w:style>
  <w:style w:styleId="Style_37" w:type="paragraph">
    <w:name w:val="Footnote"/>
    <w:basedOn w:val="Style_2"/>
    <w:link w:val="Style_37_ch"/>
  </w:style>
  <w:style w:styleId="Style_37_ch" w:type="character">
    <w:name w:val="Footnote"/>
    <w:basedOn w:val="Style_2_ch"/>
    <w:link w:val="Style_37"/>
  </w:style>
  <w:style w:styleId="Style_1" w:type="paragraph">
    <w:name w:val="Header"/>
    <w:basedOn w:val="Style_2"/>
    <w:link w:val="Style_1_ch"/>
    <w:pPr>
      <w:widowControl w:val="0"/>
      <w:tabs>
        <w:tab w:leader="none" w:pos="720" w:val="clear"/>
        <w:tab w:leader="none" w:pos="4153" w:val="center"/>
        <w:tab w:leader="none" w:pos="8306" w:val="right"/>
      </w:tabs>
      <w:ind/>
    </w:pPr>
  </w:style>
  <w:style w:styleId="Style_1_ch" w:type="character">
    <w:name w:val="Header"/>
    <w:basedOn w:val="Style_2_ch"/>
    <w:link w:val="Style_1"/>
  </w:style>
  <w:style w:styleId="Style_38" w:type="paragraph">
    <w:name w:val="ConsPlusNonformat1"/>
    <w:link w:val="Style_38_ch"/>
    <w:pPr>
      <w:widowControl w:val="0"/>
      <w:spacing w:after="0" w:before="0" w:line="240" w:lineRule="auto"/>
      <w:ind w:firstLine="0" w:left="0" w:right="0"/>
      <w:jc w:val="left"/>
    </w:pPr>
    <w:rPr>
      <w:rFonts w:ascii="Courier New" w:hAnsi="Courier New"/>
      <w:color w:val="000000"/>
      <w:spacing w:val="0"/>
      <w:sz w:val="20"/>
    </w:rPr>
  </w:style>
  <w:style w:styleId="Style_38_ch" w:type="character">
    <w:name w:val="ConsPlusNonformat1"/>
    <w:link w:val="Style_38"/>
    <w:rPr>
      <w:rFonts w:ascii="Courier New" w:hAnsi="Courier New"/>
      <w:color w:val="000000"/>
      <w:spacing w:val="0"/>
      <w:sz w:val="20"/>
    </w:rPr>
  </w:style>
  <w:style w:styleId="Style_39" w:type="paragraph">
    <w:name w:val="Contents 9"/>
    <w:link w:val="Style_39_ch"/>
    <w:rPr>
      <w:rFonts w:ascii="XO Thames" w:hAnsi="XO Thames"/>
      <w:sz w:val="28"/>
    </w:rPr>
  </w:style>
  <w:style w:styleId="Style_39_ch" w:type="character">
    <w:name w:val="Contents 9"/>
    <w:link w:val="Style_39"/>
    <w:rPr>
      <w:rFonts w:ascii="XO Thames" w:hAnsi="XO Thames"/>
      <w:sz w:val="28"/>
    </w:rPr>
  </w:style>
  <w:style w:styleId="Style_40" w:type="paragraph">
    <w:name w:val="toc 1"/>
    <w:next w:val="Style_2"/>
    <w:link w:val="Style_40_ch"/>
    <w:uiPriority w:val="39"/>
    <w:pPr>
      <w:widowControl w:val="0"/>
      <w:spacing w:after="0" w:before="0" w:line="240" w:lineRule="auto"/>
      <w:ind w:firstLine="0" w:left="0" w:right="0"/>
      <w:jc w:val="left"/>
    </w:pPr>
    <w:rPr>
      <w:rFonts w:ascii="XO Thames" w:hAnsi="XO Thames"/>
      <w:b w:val="1"/>
      <w:color w:val="000000"/>
      <w:spacing w:val="0"/>
      <w:sz w:val="28"/>
    </w:rPr>
  </w:style>
  <w:style w:styleId="Style_40_ch" w:type="character">
    <w:name w:val="toc 1"/>
    <w:link w:val="Style_40"/>
    <w:rPr>
      <w:rFonts w:ascii="XO Thames" w:hAnsi="XO Thames"/>
      <w:b w:val="1"/>
      <w:color w:val="000000"/>
      <w:spacing w:val="0"/>
      <w:sz w:val="28"/>
    </w:rPr>
  </w:style>
  <w:style w:styleId="Style_41" w:type="paragraph">
    <w:name w:val="Header and Footer"/>
    <w:link w:val="Style_41_ch"/>
    <w:rPr>
      <w:rFonts w:ascii="XO Thames" w:hAnsi="XO Thames"/>
      <w:sz w:val="20"/>
    </w:rPr>
  </w:style>
  <w:style w:styleId="Style_41_ch" w:type="character">
    <w:name w:val="Header and Footer"/>
    <w:link w:val="Style_41"/>
    <w:rPr>
      <w:rFonts w:ascii="XO Thames" w:hAnsi="XO Thames"/>
      <w:sz w:val="20"/>
    </w:rPr>
  </w:style>
  <w:style w:styleId="Style_42" w:type="paragraph">
    <w:name w:val="Footnote Symbol"/>
    <w:link w:val="Style_42_ch"/>
    <w:pPr>
      <w:widowControl w:val="0"/>
      <w:spacing w:after="0" w:before="0" w:line="240" w:lineRule="auto"/>
      <w:ind w:firstLine="0" w:left="0" w:right="0"/>
      <w:jc w:val="left"/>
    </w:pPr>
    <w:rPr>
      <w:rFonts w:ascii="Times New Roman" w:hAnsi="Times New Roman"/>
      <w:color w:val="000000"/>
      <w:spacing w:val="0"/>
      <w:sz w:val="20"/>
      <w:vertAlign w:val="superscript"/>
    </w:rPr>
  </w:style>
  <w:style w:styleId="Style_42_ch" w:type="character">
    <w:name w:val="Footnote Symbol"/>
    <w:link w:val="Style_42"/>
    <w:rPr>
      <w:rFonts w:ascii="Times New Roman" w:hAnsi="Times New Roman"/>
      <w:color w:val="000000"/>
      <w:spacing w:val="0"/>
      <w:sz w:val="20"/>
      <w:vertAlign w:val="superscript"/>
    </w:rPr>
  </w:style>
  <w:style w:styleId="Style_43"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Style_2"/>
    <w:link w:val="Style_43_ch"/>
    <w:pPr>
      <w:widowControl w:val="0"/>
      <w:spacing w:after="160" w:before="0" w:line="240" w:lineRule="exact"/>
      <w:ind/>
    </w:pPr>
    <w:rPr>
      <w:rFonts w:ascii="Verdana" w:hAnsi="Verdana"/>
    </w:rPr>
  </w:style>
  <w:style w:styleId="Style_43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Style_2_ch"/>
    <w:link w:val="Style_43"/>
    <w:rPr>
      <w:rFonts w:ascii="Verdana" w:hAnsi="Verdana"/>
    </w:rPr>
  </w:style>
  <w:style w:styleId="Style_44" w:type="paragraph">
    <w:name w:val="Header1"/>
    <w:link w:val="Style_44_ch"/>
  </w:style>
  <w:style w:styleId="Style_44_ch" w:type="character">
    <w:name w:val="Header1"/>
    <w:link w:val="Style_44"/>
  </w:style>
  <w:style w:styleId="Style_45" w:type="paragraph">
    <w:name w:val="4. Текст1"/>
    <w:basedOn w:val="Style_15"/>
    <w:link w:val="Style_45_ch"/>
    <w:pPr>
      <w:keepNext w:val="1"/>
      <w:keepLines w:val="1"/>
      <w:widowControl w:val="0"/>
      <w:ind/>
      <w:jc w:val="both"/>
    </w:pPr>
    <w:rPr>
      <w:color w:val="000000"/>
      <w:spacing w:val="2"/>
      <w:sz w:val="28"/>
    </w:rPr>
  </w:style>
  <w:style w:styleId="Style_45_ch" w:type="character">
    <w:name w:val="4. Текст1"/>
    <w:basedOn w:val="Style_15_ch"/>
    <w:link w:val="Style_45"/>
    <w:rPr>
      <w:color w:val="000000"/>
      <w:spacing w:val="2"/>
      <w:sz w:val="28"/>
    </w:rPr>
  </w:style>
  <w:style w:styleId="Style_46" w:type="paragraph">
    <w:name w:val="toc 9"/>
    <w:next w:val="Style_2"/>
    <w:link w:val="Style_46_ch"/>
    <w:uiPriority w:val="39"/>
    <w:pPr>
      <w:widowControl w:val="0"/>
      <w:spacing w:after="0" w:before="0" w:line="240" w:lineRule="auto"/>
      <w:ind w:firstLine="0" w:left="1600" w:right="0"/>
      <w:jc w:val="left"/>
    </w:pPr>
    <w:rPr>
      <w:rFonts w:ascii="XO Thames" w:hAnsi="XO Thames"/>
      <w:color w:val="000000"/>
      <w:spacing w:val="0"/>
      <w:sz w:val="28"/>
    </w:rPr>
  </w:style>
  <w:style w:styleId="Style_46_ch" w:type="character">
    <w:name w:val="toc 9"/>
    <w:link w:val="Style_46"/>
    <w:rPr>
      <w:rFonts w:ascii="XO Thames" w:hAnsi="XO Thames"/>
      <w:color w:val="000000"/>
      <w:spacing w:val="0"/>
      <w:sz w:val="28"/>
    </w:rPr>
  </w:style>
  <w:style w:styleId="Style_47" w:type="paragraph">
    <w:name w:val="Заголовок"/>
    <w:basedOn w:val="Style_2"/>
    <w:next w:val="Style_48"/>
    <w:link w:val="Style_47_ch"/>
    <w:pPr>
      <w:keepNext w:val="1"/>
      <w:spacing w:after="120" w:before="240"/>
      <w:ind/>
    </w:pPr>
    <w:rPr>
      <w:rFonts w:ascii="Liberation Sans" w:hAnsi="Liberation Sans"/>
      <w:sz w:val="28"/>
    </w:rPr>
  </w:style>
  <w:style w:styleId="Style_47_ch" w:type="character">
    <w:name w:val="Заголовок"/>
    <w:basedOn w:val="Style_2_ch"/>
    <w:link w:val="Style_47"/>
    <w:rPr>
      <w:rFonts w:ascii="Liberation Sans" w:hAnsi="Liberation Sans"/>
      <w:sz w:val="28"/>
    </w:rPr>
  </w:style>
  <w:style w:styleId="Style_49" w:type="paragraph">
    <w:name w:val="toc 8"/>
    <w:next w:val="Style_2"/>
    <w:link w:val="Style_49_ch"/>
    <w:uiPriority w:val="39"/>
    <w:pPr>
      <w:widowControl w:val="0"/>
      <w:spacing w:after="0" w:before="0" w:line="240" w:lineRule="auto"/>
      <w:ind w:firstLine="0" w:left="1400" w:right="0"/>
      <w:jc w:val="left"/>
    </w:pPr>
    <w:rPr>
      <w:rFonts w:ascii="XO Thames" w:hAnsi="XO Thames"/>
      <w:color w:val="000000"/>
      <w:spacing w:val="0"/>
      <w:sz w:val="28"/>
    </w:rPr>
  </w:style>
  <w:style w:styleId="Style_49_ch" w:type="character">
    <w:name w:val="toc 8"/>
    <w:link w:val="Style_49"/>
    <w:rPr>
      <w:rFonts w:ascii="XO Thames" w:hAnsi="XO Thames"/>
      <w:color w:val="000000"/>
      <w:spacing w:val="0"/>
      <w:sz w:val="28"/>
    </w:rPr>
  </w:style>
  <w:style w:styleId="Style_50" w:type="paragraph">
    <w:name w:val="Обычный11"/>
    <w:link w:val="Style_50_ch"/>
    <w:pPr>
      <w:widowControl w:val="0"/>
      <w:spacing w:after="0" w:before="0" w:line="300" w:lineRule="auto"/>
      <w:ind w:firstLine="560" w:left="0" w:right="0"/>
      <w:jc w:val="left"/>
    </w:pPr>
    <w:rPr>
      <w:rFonts w:ascii="Times New Roman" w:hAnsi="Times New Roman"/>
      <w:color w:val="000000"/>
      <w:spacing w:val="0"/>
      <w:sz w:val="22"/>
    </w:rPr>
  </w:style>
  <w:style w:styleId="Style_50_ch" w:type="character">
    <w:name w:val="Обычный11"/>
    <w:link w:val="Style_50"/>
    <w:rPr>
      <w:rFonts w:ascii="Times New Roman" w:hAnsi="Times New Roman"/>
      <w:color w:val="000000"/>
      <w:spacing w:val="0"/>
      <w:sz w:val="22"/>
    </w:rPr>
  </w:style>
  <w:style w:styleId="Style_51" w:type="paragraph">
    <w:name w:val="Body Text 31"/>
    <w:basedOn w:val="Style_2"/>
    <w:link w:val="Style_51_ch"/>
    <w:pPr>
      <w:widowControl w:val="0"/>
      <w:spacing w:line="264" w:lineRule="auto"/>
      <w:ind/>
    </w:pPr>
    <w:rPr>
      <w:sz w:val="28"/>
    </w:rPr>
  </w:style>
  <w:style w:styleId="Style_51_ch" w:type="character">
    <w:name w:val="Body Text 31"/>
    <w:basedOn w:val="Style_2_ch"/>
    <w:link w:val="Style_51"/>
    <w:rPr>
      <w:sz w:val="28"/>
    </w:rPr>
  </w:style>
  <w:style w:styleId="Style_52" w:type="paragraph">
    <w:name w:val="Символ концевой сноски"/>
    <w:link w:val="Style_52_ch"/>
  </w:style>
  <w:style w:styleId="Style_52_ch" w:type="character">
    <w:name w:val="Символ концевой сноски"/>
    <w:link w:val="Style_52"/>
  </w:style>
  <w:style w:styleId="Style_53" w:type="paragraph">
    <w:name w:val="Contents 1"/>
    <w:link w:val="Style_53_ch"/>
    <w:rPr>
      <w:rFonts w:ascii="XO Thames" w:hAnsi="XO Thames"/>
      <w:b w:val="1"/>
      <w:sz w:val="28"/>
    </w:rPr>
  </w:style>
  <w:style w:styleId="Style_53_ch" w:type="character">
    <w:name w:val="Contents 1"/>
    <w:link w:val="Style_53"/>
    <w:rPr>
      <w:rFonts w:ascii="XO Thames" w:hAnsi="XO Thames"/>
      <w:b w:val="1"/>
      <w:sz w:val="28"/>
    </w:rPr>
  </w:style>
  <w:style w:styleId="Style_48" w:type="paragraph">
    <w:name w:val="Body Text"/>
    <w:basedOn w:val="Style_2"/>
    <w:link w:val="Style_48_ch"/>
    <w:pPr>
      <w:widowControl w:val="0"/>
      <w:ind/>
      <w:jc w:val="both"/>
    </w:pPr>
    <w:rPr>
      <w:sz w:val="24"/>
    </w:rPr>
  </w:style>
  <w:style w:styleId="Style_48_ch" w:type="character">
    <w:name w:val="Body Text"/>
    <w:basedOn w:val="Style_2_ch"/>
    <w:link w:val="Style_48"/>
    <w:rPr>
      <w:sz w:val="24"/>
    </w:rPr>
  </w:style>
  <w:style w:styleId="Style_54" w:type="paragraph">
    <w:name w:val="Footnote1"/>
    <w:basedOn w:val="Style_2"/>
    <w:link w:val="Style_54_ch"/>
  </w:style>
  <w:style w:styleId="Style_54_ch" w:type="character">
    <w:name w:val="Footnote1"/>
    <w:basedOn w:val="Style_2_ch"/>
    <w:link w:val="Style_54"/>
  </w:style>
  <w:style w:styleId="Style_55" w:type="paragraph">
    <w:name w:val="Heading 11"/>
    <w:link w:val="Style_55_ch"/>
    <w:rPr>
      <w:b w:val="1"/>
      <w:sz w:val="28"/>
    </w:rPr>
  </w:style>
  <w:style w:styleId="Style_55_ch" w:type="character">
    <w:name w:val="Heading 11"/>
    <w:link w:val="Style_55"/>
    <w:rPr>
      <w:b w:val="1"/>
      <w:sz w:val="28"/>
    </w:rPr>
  </w:style>
  <w:style w:styleId="Style_56" w:type="paragraph">
    <w:name w:val="Internet link"/>
    <w:link w:val="Style_56_ch"/>
    <w:pPr>
      <w:widowControl w:val="0"/>
      <w:spacing w:after="0" w:before="0" w:line="240" w:lineRule="auto"/>
      <w:ind w:firstLine="0" w:left="0" w:right="0"/>
      <w:jc w:val="left"/>
    </w:pPr>
    <w:rPr>
      <w:rFonts w:ascii="Times New Roman" w:hAnsi="Times New Roman"/>
      <w:color w:val="0000FF"/>
      <w:spacing w:val="0"/>
      <w:sz w:val="20"/>
      <w:u w:val="single"/>
    </w:rPr>
  </w:style>
  <w:style w:styleId="Style_56_ch" w:type="character">
    <w:name w:val="Internet link"/>
    <w:link w:val="Style_56"/>
    <w:rPr>
      <w:rFonts w:ascii="Times New Roman" w:hAnsi="Times New Roman"/>
      <w:color w:val="0000FF"/>
      <w:spacing w:val="0"/>
      <w:sz w:val="20"/>
      <w:u w:val="single"/>
    </w:rPr>
  </w:style>
  <w:style w:styleId="Style_57" w:type="paragraph">
    <w:name w:val="Contents 6"/>
    <w:link w:val="Style_57_ch"/>
    <w:rPr>
      <w:rFonts w:ascii="XO Thames" w:hAnsi="XO Thames"/>
      <w:sz w:val="28"/>
    </w:rPr>
  </w:style>
  <w:style w:styleId="Style_57_ch" w:type="character">
    <w:name w:val="Contents 6"/>
    <w:link w:val="Style_57"/>
    <w:rPr>
      <w:rFonts w:ascii="XO Thames" w:hAnsi="XO Thames"/>
      <w:sz w:val="28"/>
    </w:rPr>
  </w:style>
  <w:style w:styleId="Style_58" w:type="paragraph">
    <w:name w:val="Body Text 21"/>
    <w:basedOn w:val="Style_2"/>
    <w:link w:val="Style_58_ch"/>
    <w:pPr>
      <w:widowControl w:val="0"/>
      <w:tabs>
        <w:tab w:leader="none" w:pos="284" w:val="left"/>
        <w:tab w:leader="none" w:pos="720" w:val="clear"/>
      </w:tabs>
      <w:ind w:hanging="284" w:left="284"/>
      <w:jc w:val="both"/>
    </w:pPr>
    <w:rPr>
      <w:sz w:val="24"/>
    </w:rPr>
  </w:style>
  <w:style w:styleId="Style_58_ch" w:type="character">
    <w:name w:val="Body Text 21"/>
    <w:basedOn w:val="Style_2_ch"/>
    <w:link w:val="Style_58"/>
    <w:rPr>
      <w:sz w:val="24"/>
    </w:rPr>
  </w:style>
  <w:style w:styleId="Style_59" w:type="paragraph">
    <w:name w:val="Body Text Indent 31"/>
    <w:basedOn w:val="Style_2"/>
    <w:link w:val="Style_59_ch"/>
    <w:pPr>
      <w:widowControl w:val="0"/>
      <w:spacing w:after="120" w:before="0"/>
      <w:ind w:firstLine="720" w:left="0"/>
      <w:jc w:val="both"/>
    </w:pPr>
    <w:rPr>
      <w:b w:val="1"/>
      <w:sz w:val="28"/>
    </w:rPr>
  </w:style>
  <w:style w:styleId="Style_59_ch" w:type="character">
    <w:name w:val="Body Text Indent 31"/>
    <w:basedOn w:val="Style_2_ch"/>
    <w:link w:val="Style_59"/>
    <w:rPr>
      <w:b w:val="1"/>
      <w:sz w:val="28"/>
    </w:rPr>
  </w:style>
  <w:style w:styleId="Style_60" w:type="paragraph">
    <w:name w:val="toc 5"/>
    <w:next w:val="Style_2"/>
    <w:link w:val="Style_60_ch"/>
    <w:uiPriority w:val="39"/>
    <w:pPr>
      <w:widowControl w:val="0"/>
      <w:spacing w:after="0" w:before="0" w:line="240" w:lineRule="auto"/>
      <w:ind w:firstLine="0" w:left="800" w:right="0"/>
      <w:jc w:val="left"/>
    </w:pPr>
    <w:rPr>
      <w:rFonts w:ascii="XO Thames" w:hAnsi="XO Thames"/>
      <w:color w:val="000000"/>
      <w:spacing w:val="0"/>
      <w:sz w:val="28"/>
    </w:rPr>
  </w:style>
  <w:style w:styleId="Style_60_ch" w:type="character">
    <w:name w:val="toc 5"/>
    <w:link w:val="Style_60"/>
    <w:rPr>
      <w:rFonts w:ascii="XO Thames" w:hAnsi="XO Thames"/>
      <w:color w:val="000000"/>
      <w:spacing w:val="0"/>
      <w:sz w:val="28"/>
    </w:rPr>
  </w:style>
  <w:style w:styleId="Style_61" w:type="paragraph">
    <w:name w:val="Endnote1"/>
    <w:link w:val="Style_61_ch"/>
    <w:pPr>
      <w:widowControl w:val="1"/>
      <w:spacing w:after="0" w:before="0" w:line="240" w:lineRule="auto"/>
      <w:ind w:firstLine="851" w:left="0" w:right="0"/>
      <w:jc w:val="both"/>
    </w:pPr>
    <w:rPr>
      <w:rFonts w:ascii="XO Thames" w:hAnsi="XO Thames"/>
      <w:color w:val="000000"/>
      <w:spacing w:val="0"/>
      <w:sz w:val="22"/>
    </w:rPr>
  </w:style>
  <w:style w:styleId="Style_61_ch" w:type="character">
    <w:name w:val="Endnote1"/>
    <w:link w:val="Style_61"/>
    <w:rPr>
      <w:rFonts w:ascii="XO Thames" w:hAnsi="XO Thames"/>
      <w:color w:val="000000"/>
      <w:spacing w:val="0"/>
      <w:sz w:val="22"/>
    </w:rPr>
  </w:style>
  <w:style w:styleId="Style_62" w:type="paragraph">
    <w:name w:val="Contents 3"/>
    <w:link w:val="Style_62_ch"/>
    <w:rPr>
      <w:rFonts w:ascii="XO Thames" w:hAnsi="XO Thames"/>
      <w:sz w:val="28"/>
    </w:rPr>
  </w:style>
  <w:style w:styleId="Style_62_ch" w:type="character">
    <w:name w:val="Contents 3"/>
    <w:link w:val="Style_62"/>
    <w:rPr>
      <w:rFonts w:ascii="XO Thames" w:hAnsi="XO Thames"/>
      <w:sz w:val="28"/>
    </w:rPr>
  </w:style>
  <w:style w:styleId="Style_63" w:type="paragraph">
    <w:name w:val="Subtitle1"/>
    <w:link w:val="Style_63_ch"/>
    <w:rPr>
      <w:rFonts w:ascii="XO Thames" w:hAnsi="XO Thames"/>
      <w:i w:val="1"/>
      <w:sz w:val="24"/>
    </w:rPr>
  </w:style>
  <w:style w:styleId="Style_63_ch" w:type="character">
    <w:name w:val="Subtitle1"/>
    <w:link w:val="Style_63"/>
    <w:rPr>
      <w:rFonts w:ascii="XO Thames" w:hAnsi="XO Thames"/>
      <w:i w:val="1"/>
      <w:sz w:val="24"/>
    </w:rPr>
  </w:style>
  <w:style w:styleId="Style_64" w:type="paragraph">
    <w:name w:val="Subtitle"/>
    <w:next w:val="Style_2"/>
    <w:link w:val="Style_64_ch"/>
    <w:uiPriority w:val="11"/>
    <w:qFormat/>
    <w:pPr>
      <w:widowControl w:val="0"/>
      <w:spacing w:after="0" w:before="0" w:line="240" w:lineRule="auto"/>
      <w:ind w:firstLine="0" w:left="0" w:right="0"/>
      <w:jc w:val="both"/>
    </w:pPr>
    <w:rPr>
      <w:rFonts w:ascii="XO Thames" w:hAnsi="XO Thames"/>
      <w:i w:val="1"/>
      <w:color w:val="000000"/>
      <w:spacing w:val="0"/>
      <w:sz w:val="24"/>
    </w:rPr>
  </w:style>
  <w:style w:styleId="Style_64_ch" w:type="character">
    <w:name w:val="Subtitle"/>
    <w:link w:val="Style_64"/>
    <w:rPr>
      <w:rFonts w:ascii="XO Thames" w:hAnsi="XO Thames"/>
      <w:i w:val="1"/>
      <w:color w:val="000000"/>
      <w:spacing w:val="0"/>
      <w:sz w:val="24"/>
    </w:rPr>
  </w:style>
  <w:style w:styleId="Style_65" w:type="paragraph">
    <w:name w:val="Body Text Indent"/>
    <w:basedOn w:val="Style_2"/>
    <w:link w:val="Style_65_ch"/>
    <w:pPr>
      <w:widowControl w:val="0"/>
      <w:ind w:firstLine="0" w:left="113"/>
    </w:pPr>
    <w:rPr>
      <w:color w:val="000000"/>
      <w:sz w:val="22"/>
    </w:rPr>
  </w:style>
  <w:style w:styleId="Style_65_ch" w:type="character">
    <w:name w:val="Body Text Indent"/>
    <w:basedOn w:val="Style_2_ch"/>
    <w:link w:val="Style_65"/>
    <w:rPr>
      <w:color w:val="000000"/>
      <w:sz w:val="22"/>
    </w:rPr>
  </w:style>
  <w:style w:styleId="Style_66" w:type="paragraph">
    <w:name w:val="Title"/>
    <w:basedOn w:val="Style_2"/>
    <w:link w:val="Style_66_ch"/>
    <w:uiPriority w:val="10"/>
    <w:qFormat/>
    <w:pPr>
      <w:widowControl w:val="0"/>
      <w:spacing w:line="288" w:lineRule="auto"/>
      <w:ind w:firstLine="4962" w:left="0"/>
      <w:jc w:val="center"/>
    </w:pPr>
    <w:rPr>
      <w:sz w:val="24"/>
    </w:rPr>
  </w:style>
  <w:style w:styleId="Style_66_ch" w:type="character">
    <w:name w:val="Title"/>
    <w:basedOn w:val="Style_2_ch"/>
    <w:link w:val="Style_66"/>
    <w:rPr>
      <w:sz w:val="24"/>
    </w:rPr>
  </w:style>
  <w:style w:styleId="Style_67" w:type="paragraph">
    <w:name w:val="heading 4"/>
    <w:basedOn w:val="Style_2"/>
    <w:next w:val="Style_2"/>
    <w:link w:val="Style_67_ch"/>
    <w:uiPriority w:val="9"/>
    <w:qFormat/>
    <w:pPr>
      <w:keepNext w:val="1"/>
      <w:keepLines w:val="1"/>
      <w:widowControl w:val="0"/>
      <w:spacing w:after="0" w:before="200"/>
      <w:ind/>
      <w:outlineLvl w:val="3"/>
    </w:pPr>
    <w:rPr>
      <w:rFonts w:asciiTheme="majorAscii" w:hAnsiTheme="majorHAnsi"/>
      <w:b w:val="1"/>
      <w:i w:val="1"/>
      <w:color w:themeColor="accent1" w:val="4F81BD"/>
    </w:rPr>
  </w:style>
  <w:style w:styleId="Style_67_ch" w:type="character">
    <w:name w:val="heading 4"/>
    <w:basedOn w:val="Style_2_ch"/>
    <w:link w:val="Style_67"/>
    <w:rPr>
      <w:rFonts w:asciiTheme="majorAscii" w:hAnsiTheme="majorHAnsi"/>
      <w:b w:val="1"/>
      <w:i w:val="1"/>
      <w:color w:themeColor="accent1" w:val="4F81BD"/>
    </w:rPr>
  </w:style>
  <w:style w:styleId="Style_68" w:type="paragraph">
    <w:name w:val="Contents 4"/>
    <w:link w:val="Style_68_ch"/>
    <w:rPr>
      <w:rFonts w:ascii="XO Thames" w:hAnsi="XO Thames"/>
      <w:sz w:val="28"/>
    </w:rPr>
  </w:style>
  <w:style w:styleId="Style_68_ch" w:type="character">
    <w:name w:val="Contents 4"/>
    <w:link w:val="Style_68"/>
    <w:rPr>
      <w:rFonts w:ascii="XO Thames" w:hAnsi="XO Thames"/>
      <w:sz w:val="28"/>
    </w:rPr>
  </w:style>
  <w:style w:styleId="Style_69" w:type="paragraph">
    <w:name w:val="Body Text Indent 21"/>
    <w:basedOn w:val="Style_2"/>
    <w:link w:val="Style_69_ch"/>
    <w:pPr>
      <w:widowControl w:val="0"/>
      <w:ind w:firstLine="720" w:left="0"/>
      <w:jc w:val="both"/>
    </w:pPr>
    <w:rPr>
      <w:sz w:val="24"/>
    </w:rPr>
  </w:style>
  <w:style w:styleId="Style_69_ch" w:type="character">
    <w:name w:val="Body Text Indent 21"/>
    <w:basedOn w:val="Style_2_ch"/>
    <w:link w:val="Style_69"/>
    <w:rPr>
      <w:sz w:val="24"/>
    </w:rPr>
  </w:style>
  <w:style w:styleId="Style_70" w:type="paragraph">
    <w:name w:val="Text body indent"/>
    <w:link w:val="Style_70_ch"/>
    <w:rPr>
      <w:color w:val="000000"/>
      <w:sz w:val="22"/>
    </w:rPr>
  </w:style>
  <w:style w:styleId="Style_70_ch" w:type="character">
    <w:name w:val="Text body indent"/>
    <w:link w:val="Style_70"/>
    <w:rPr>
      <w:color w:val="000000"/>
      <w:sz w:val="22"/>
    </w:rPr>
  </w:style>
  <w:style w:styleId="Style_71" w:type="paragraph">
    <w:name w:val="List"/>
    <w:basedOn w:val="Style_48"/>
    <w:link w:val="Style_71_ch"/>
  </w:style>
  <w:style w:styleId="Style_71_ch" w:type="character">
    <w:name w:val="List"/>
    <w:basedOn w:val="Style_48_ch"/>
    <w:link w:val="Style_71"/>
  </w:style>
  <w:style w:styleId="Style_72" w:type="paragraph">
    <w:name w:val="heading 2"/>
    <w:basedOn w:val="Style_2"/>
    <w:next w:val="Style_2"/>
    <w:link w:val="Style_72_ch"/>
    <w:uiPriority w:val="9"/>
    <w:qFormat/>
    <w:pPr>
      <w:keepNext w:val="1"/>
      <w:widowControl w:val="0"/>
      <w:numPr>
        <w:ilvl w:val="0"/>
        <w:numId w:val="2"/>
      </w:numPr>
      <w:spacing w:line="264" w:lineRule="auto"/>
      <w:ind/>
      <w:jc w:val="center"/>
      <w:outlineLvl w:val="1"/>
    </w:pPr>
    <w:rPr>
      <w:b w:val="1"/>
      <w:sz w:val="28"/>
    </w:rPr>
  </w:style>
  <w:style w:styleId="Style_72_ch" w:type="character">
    <w:name w:val="heading 2"/>
    <w:basedOn w:val="Style_2_ch"/>
    <w:link w:val="Style_72"/>
    <w:rPr>
      <w:b w:val="1"/>
      <w:sz w:val="28"/>
    </w:rPr>
  </w:style>
  <w:style w:styleId="Style_73" w:type="table">
    <w:name w:val="Table Grid"/>
    <w:basedOn w:val="Style_4"/>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4" w:type="table">
    <w:name w:val="Normal Table"/>
    <w:tblPr>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9" Target="numbering.xml" Type="http://schemas.openxmlformats.org/officeDocument/2006/relationships/numbering"/>
  <Relationship Id="rId8" Target="footnotes.xml" Type="http://schemas.openxmlformats.org/officeDocument/2006/relationships/footnote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header1.xml" Type="http://schemas.openxmlformats.org/officeDocument/2006/relationships/head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gradFill>
        <a:gradFill>
          <a:gsLst>
            <a:gs pos="0">
              <a:schemeClr val="phClr">
                <a:shade val="51000"/>
              </a:schemeClr>
            </a:gs>
            <a:gs pos="80000">
              <a:schemeClr val="phClr">
                <a:shade val="93000"/>
              </a:schemeClr>
            </a:gs>
            <a:gs pos="100000">
              <a:schemeClr val="phClr">
                <a:shade val="94000"/>
              </a:schemeClr>
            </a:gs>
          </a:gsLst>
        </a:gradFill>
      </a:fillStyleLst>
      <a:lnStyleLst>
        <a:ln w="9525">
          <a:prstDash val="solid"/>
        </a:ln>
        <a:ln w="25400">
          <a:prstDash val="solid"/>
        </a:ln>
        <a:ln w="38100">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gradFill>
        <a:gradFill>
          <a:gsLst>
            <a:gs pos="0">
              <a:schemeClr val="phClr">
                <a:tint val="80000"/>
              </a:schemeClr>
            </a:gs>
            <a:gs pos="100000">
              <a:schemeClr val="phClr">
                <a:shade val="3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MyOffice-CoreFramework-Linux/29-1028.734.7326.662.0@DESKTOP-CASSIOPEIA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2026-06-10T10:17:44Z</dcterms:modified>
</cp:coreProperties>
</file>